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3B1F" w14:textId="4C9D42D5" w:rsidR="00B6788F" w:rsidRPr="00B6788F" w:rsidRDefault="00B6788F" w:rsidP="00B6788F">
      <w:pPr>
        <w:pStyle w:val="Heading2"/>
        <w:rPr>
          <w:rFonts w:ascii="Times New Roman" w:eastAsia="Times New Roman" w:hAnsi="Times New Roman" w:cs="Times New Roman"/>
          <w:b/>
          <w:bCs/>
          <w:color w:val="000000" w:themeColor="text1"/>
          <w:kern w:val="0"/>
          <w:sz w:val="24"/>
          <w:szCs w:val="24"/>
          <w14:ligatures w14:val="none"/>
        </w:rPr>
      </w:pPr>
      <w:r w:rsidRPr="00B6788F">
        <w:rPr>
          <w:rFonts w:ascii="Times New Roman" w:hAnsi="Times New Roman" w:cs="Times New Roman"/>
          <w:b/>
          <w:bCs/>
          <w:color w:val="000000" w:themeColor="text1"/>
          <w:sz w:val="24"/>
          <w:szCs w:val="24"/>
        </w:rPr>
        <w:t>UCLA Health Internal Guidelines for the Use of P</w:t>
      </w:r>
      <w:r w:rsidRPr="00B6788F">
        <w:rPr>
          <w:rFonts w:ascii="Times New Roman" w:eastAsia="Times New Roman" w:hAnsi="Times New Roman" w:cs="Times New Roman"/>
          <w:b/>
          <w:bCs/>
          <w:color w:val="000000" w:themeColor="text1"/>
          <w:kern w:val="0"/>
          <w:sz w:val="24"/>
          <w:szCs w:val="24"/>
          <w14:ligatures w14:val="none"/>
        </w:rPr>
        <w:t>lasma Cell-free DNA Metagenomic Next-generation Sequencing Assay</w:t>
      </w:r>
      <w:r w:rsidR="00CE0AC1">
        <w:rPr>
          <w:rFonts w:ascii="Times New Roman" w:eastAsia="Times New Roman" w:hAnsi="Times New Roman" w:cs="Times New Roman"/>
          <w:b/>
          <w:bCs/>
          <w:color w:val="000000" w:themeColor="text1"/>
          <w:kern w:val="0"/>
          <w:sz w:val="24"/>
          <w:szCs w:val="24"/>
          <w14:ligatures w14:val="none"/>
        </w:rPr>
        <w:t xml:space="preserve"> (mNGS)</w:t>
      </w:r>
      <w:r>
        <w:rPr>
          <w:rFonts w:ascii="Times New Roman" w:eastAsia="Times New Roman" w:hAnsi="Times New Roman" w:cs="Times New Roman"/>
          <w:b/>
          <w:bCs/>
          <w:color w:val="000000" w:themeColor="text1"/>
          <w:kern w:val="0"/>
          <w:sz w:val="24"/>
          <w:szCs w:val="24"/>
          <w14:ligatures w14:val="none"/>
        </w:rPr>
        <w:t xml:space="preserve"> </w:t>
      </w:r>
      <w:r w:rsidR="00CE0AC1">
        <w:rPr>
          <w:rFonts w:ascii="Times New Roman" w:eastAsia="Times New Roman" w:hAnsi="Times New Roman" w:cs="Times New Roman"/>
          <w:b/>
          <w:bCs/>
          <w:color w:val="000000" w:themeColor="text1"/>
          <w:kern w:val="0"/>
          <w:sz w:val="24"/>
          <w:szCs w:val="24"/>
          <w14:ligatures w14:val="none"/>
        </w:rPr>
        <w:t>(</w:t>
      </w:r>
      <w:r>
        <w:rPr>
          <w:rFonts w:ascii="Times New Roman" w:eastAsia="Times New Roman" w:hAnsi="Times New Roman" w:cs="Times New Roman"/>
          <w:b/>
          <w:bCs/>
          <w:color w:val="000000" w:themeColor="text1"/>
          <w:kern w:val="0"/>
          <w:sz w:val="24"/>
          <w:szCs w:val="24"/>
          <w14:ligatures w14:val="none"/>
        </w:rPr>
        <w:t>performed by Karius Inc. or UCSF</w:t>
      </w:r>
      <w:r w:rsidR="00CE0AC1">
        <w:rPr>
          <w:rFonts w:ascii="Times New Roman" w:eastAsia="Times New Roman" w:hAnsi="Times New Roman" w:cs="Times New Roman"/>
          <w:b/>
          <w:bCs/>
          <w:color w:val="000000" w:themeColor="text1"/>
          <w:kern w:val="0"/>
          <w:sz w:val="24"/>
          <w:szCs w:val="24"/>
          <w14:ligatures w14:val="none"/>
        </w:rPr>
        <w:t>)</w:t>
      </w:r>
    </w:p>
    <w:p w14:paraId="1B64A035" w14:textId="240B154A" w:rsidR="008E47CD" w:rsidRDefault="008E47CD"/>
    <w:p w14:paraId="06D4350B" w14:textId="60D9BECF" w:rsidR="00B6788F" w:rsidRDefault="00CE0AC1">
      <w:pPr>
        <w:rPr>
          <w:rFonts w:ascii="Times New Roman" w:eastAsia="Times New Roman" w:hAnsi="Times New Roman" w:cs="Times New Roman"/>
          <w:color w:val="000000" w:themeColor="text1"/>
          <w:kern w:val="0"/>
          <w14:ligatures w14:val="none"/>
        </w:rPr>
      </w:pPr>
      <w:r w:rsidRPr="00CE0AC1">
        <w:rPr>
          <w:rFonts w:ascii="Times New Roman" w:hAnsi="Times New Roman" w:cs="Times New Roman"/>
        </w:rPr>
        <w:t>Scope</w:t>
      </w:r>
      <w:r>
        <w:rPr>
          <w:rFonts w:ascii="Times New Roman" w:hAnsi="Times New Roman" w:cs="Times New Roman"/>
        </w:rPr>
        <w:t>: These guidelines apply to the clinical use of plasma mNGS</w:t>
      </w:r>
      <w:r w:rsidRPr="00CE0AC1">
        <w:rPr>
          <w:rFonts w:ascii="Times New Roman" w:eastAsia="Times New Roman" w:hAnsi="Times New Roman" w:cs="Times New Roman"/>
          <w:color w:val="000000" w:themeColor="text1"/>
          <w:kern w:val="0"/>
          <w14:ligatures w14:val="none"/>
        </w:rPr>
        <w:t xml:space="preserve"> (performed by Karius Inc. or UCSF)</w:t>
      </w:r>
      <w:r>
        <w:rPr>
          <w:rFonts w:ascii="Times New Roman" w:eastAsia="Times New Roman" w:hAnsi="Times New Roman" w:cs="Times New Roman"/>
          <w:color w:val="000000" w:themeColor="text1"/>
          <w:kern w:val="0"/>
          <w14:ligatures w14:val="none"/>
        </w:rPr>
        <w:t xml:space="preserve"> for UCLA Health patients, both pediatric and adult. The ordering of plasma mNGS is restricted to Infectious Diseases providers at UCLA. This document is intended to provide guidance for all providers considering the use of plasma mNGS for their patients. </w:t>
      </w:r>
    </w:p>
    <w:p w14:paraId="6CFF8E57" w14:textId="7FB664EF" w:rsidR="00CE0AC1" w:rsidRDefault="00CE0AC1">
      <w:pPr>
        <w:rPr>
          <w:rFonts w:ascii="Times New Roman" w:eastAsia="Times New Roman" w:hAnsi="Times New Roman" w:cs="Times New Roman"/>
          <w:color w:val="000000" w:themeColor="text1"/>
          <w:kern w:val="0"/>
          <w14:ligatures w14:val="none"/>
        </w:rPr>
      </w:pPr>
    </w:p>
    <w:p w14:paraId="4376BF1F" w14:textId="1BAE6E43" w:rsidR="00CE0AC1" w:rsidRPr="00E05751" w:rsidRDefault="00CE0AC1" w:rsidP="1CD34551">
      <w:pPr>
        <w:rPr>
          <w:rFonts w:ascii="Times New Roman" w:eastAsia="Times New Roman" w:hAnsi="Times New Roman" w:cs="Times New Roman"/>
          <w:color w:val="000000" w:themeColor="text1"/>
        </w:rPr>
      </w:pPr>
      <w:r w:rsidRPr="1CD34551">
        <w:rPr>
          <w:rFonts w:ascii="Times New Roman" w:eastAsia="Times New Roman" w:hAnsi="Times New Roman" w:cs="Times New Roman"/>
          <w:color w:val="000000" w:themeColor="text1"/>
          <w:kern w:val="0"/>
          <w14:ligatures w14:val="none"/>
        </w:rPr>
        <w:t xml:space="preserve">Background: Plasma mNGS assays </w:t>
      </w:r>
      <w:r w:rsidR="76FEF7AA" w:rsidRPr="1CD34551">
        <w:rPr>
          <w:rFonts w:ascii="Times New Roman" w:eastAsia="Times New Roman" w:hAnsi="Times New Roman" w:cs="Times New Roman"/>
          <w:color w:val="000000" w:themeColor="text1"/>
        </w:rPr>
        <w:t>have the ability to indiscriminately sequence millions of cfDNA fragments in a parallel high-throughput fashion with subsequent processing through a bioinformatics database, which in theory holds the promise of detection of various pathogens from single plasma sample.</w:t>
      </w:r>
      <w:r w:rsidRPr="1CD34551">
        <w:rPr>
          <w:rFonts w:ascii="Times New Roman" w:eastAsia="Times New Roman" w:hAnsi="Times New Roman" w:cs="Times New Roman"/>
          <w:color w:val="000000" w:themeColor="text1"/>
          <w:kern w:val="0"/>
          <w14:ligatures w14:val="none"/>
        </w:rPr>
        <w:t xml:space="preserve"> Real-world data of clinical impact of plasma mNGS testing are emerging (1-9). UCLA Health investigators have also published the clinical impact of this testing in our patient population (10). These guidelines are based on published data and are intended to optimize the use of plasma mNGS for patient care.</w:t>
      </w:r>
    </w:p>
    <w:p w14:paraId="728B82E5" w14:textId="2DB3143F" w:rsidR="774EBC52" w:rsidRDefault="774EBC52" w:rsidP="774EBC52">
      <w:pPr>
        <w:rPr>
          <w:rFonts w:ascii="Times New Roman" w:eastAsia="Times New Roman" w:hAnsi="Times New Roman" w:cs="Times New Roman"/>
          <w:color w:val="000000" w:themeColor="text1"/>
        </w:rPr>
      </w:pPr>
    </w:p>
    <w:p w14:paraId="5337BE2E" w14:textId="1E2BAB61" w:rsidR="4CEF5B3A" w:rsidRDefault="625F798E" w:rsidP="4CEF5B3A">
      <w:pPr>
        <w:spacing w:after="240"/>
        <w:rPr>
          <w:rFonts w:ascii="Times New Roman" w:eastAsia="Times New Roman" w:hAnsi="Times New Roman" w:cs="Times New Roman"/>
          <w:b/>
          <w:bCs/>
          <w:u w:val="single"/>
        </w:rPr>
      </w:pPr>
      <w:r w:rsidRPr="625F798E">
        <w:rPr>
          <w:rFonts w:ascii="Times New Roman" w:eastAsia="Times New Roman" w:hAnsi="Times New Roman" w:cs="Times New Roman"/>
          <w:b/>
          <w:bCs/>
          <w:u w:val="single"/>
        </w:rPr>
        <w:t>Known Limitations of Pathogen Detection by plasma mNGS assays.</w:t>
      </w:r>
    </w:p>
    <w:p w14:paraId="6C69110C" w14:textId="53F6933A" w:rsidR="4CEF5B3A" w:rsidRDefault="1CD34551" w:rsidP="4CEF5B3A">
      <w:pPr>
        <w:pStyle w:val="ListParagraph"/>
        <w:numPr>
          <w:ilvl w:val="0"/>
          <w:numId w:val="5"/>
        </w:numPr>
        <w:spacing w:after="240"/>
        <w:rPr>
          <w:rFonts w:ascii="Times New Roman" w:eastAsia="Times New Roman" w:hAnsi="Times New Roman" w:cs="Times New Roman"/>
        </w:rPr>
      </w:pPr>
      <w:r w:rsidRPr="1CD34551">
        <w:rPr>
          <w:rFonts w:ascii="Times New Roman" w:eastAsia="Times New Roman" w:hAnsi="Times New Roman" w:cs="Times New Roman"/>
        </w:rPr>
        <w:t xml:space="preserve">Current plasma cf-mNGS assays </w:t>
      </w:r>
      <w:r w:rsidRPr="1CD34551">
        <w:rPr>
          <w:rFonts w:ascii="Times New Roman" w:eastAsia="Times New Roman" w:hAnsi="Times New Roman" w:cs="Times New Roman"/>
          <w:b/>
          <w:bCs/>
        </w:rPr>
        <w:t>do not detect RNA pathogens.</w:t>
      </w:r>
    </w:p>
    <w:p w14:paraId="03783B77" w14:textId="4AFC3C6B" w:rsidR="4CEF5B3A" w:rsidRDefault="1CD34551" w:rsidP="1CD34551">
      <w:pPr>
        <w:pStyle w:val="ListParagraph"/>
        <w:numPr>
          <w:ilvl w:val="0"/>
          <w:numId w:val="5"/>
        </w:numPr>
        <w:spacing w:after="0"/>
        <w:rPr>
          <w:rFonts w:ascii="Times New Roman" w:eastAsia="Times New Roman" w:hAnsi="Times New Roman" w:cs="Times New Roman"/>
        </w:rPr>
      </w:pPr>
      <w:r w:rsidRPr="1CD34551">
        <w:rPr>
          <w:rStyle w:val="normaltextrun"/>
          <w:rFonts w:ascii="Times New Roman" w:eastAsia="Times New Roman" w:hAnsi="Times New Roman" w:cs="Times New Roman"/>
          <w:b/>
          <w:bCs/>
        </w:rPr>
        <w:t>Sensitivity issues (false negatives)</w:t>
      </w:r>
      <w:r w:rsidRPr="1CD34551">
        <w:rPr>
          <w:rStyle w:val="normaltextrun"/>
          <w:rFonts w:ascii="Times New Roman" w:eastAsia="Times New Roman" w:hAnsi="Times New Roman" w:cs="Times New Roman"/>
        </w:rPr>
        <w:t>: Plasma mNGS assays do not have the sensitivity of dedicated single microbiologic tests to detect specific targets and should not be relied upon as the sole modality to rule out an infectious etiology.</w:t>
      </w:r>
    </w:p>
    <w:p w14:paraId="643EA0FB" w14:textId="42BEA42F" w:rsidR="4CEF5B3A" w:rsidRDefault="1CD34551" w:rsidP="1CD34551">
      <w:pPr>
        <w:pStyle w:val="ListParagraph"/>
        <w:numPr>
          <w:ilvl w:val="0"/>
          <w:numId w:val="5"/>
        </w:numPr>
        <w:spacing w:after="0"/>
        <w:rPr>
          <w:rFonts w:ascii="Times New Roman" w:eastAsia="Times New Roman" w:hAnsi="Times New Roman" w:cs="Times New Roman"/>
        </w:rPr>
      </w:pPr>
      <w:r w:rsidRPr="1CD34551">
        <w:rPr>
          <w:rStyle w:val="normaltextrun"/>
          <w:rFonts w:ascii="Times New Roman" w:eastAsia="Times New Roman" w:hAnsi="Times New Roman" w:cs="Times New Roman"/>
          <w:b/>
          <w:bCs/>
        </w:rPr>
        <w:t>Specificity issues (false positives)</w:t>
      </w:r>
      <w:r w:rsidRPr="1CD34551">
        <w:rPr>
          <w:rStyle w:val="normaltextrun"/>
          <w:rFonts w:ascii="Times New Roman" w:eastAsia="Times New Roman" w:hAnsi="Times New Roman" w:cs="Times New Roman"/>
        </w:rPr>
        <w:t>: Plasma mNGS assays frequently detect DNA of viruses and commensal bacteria representing oral/respiratory or gut microbiome. Detection of these organisms is typically of little clinical impact and may lead to unnecessary testing or antibiotic therapy and prolonged hospital stay.</w:t>
      </w:r>
    </w:p>
    <w:p w14:paraId="46CC8C53" w14:textId="7ED9763B" w:rsidR="2145C9B1" w:rsidRDefault="1CD34551" w:rsidP="1CD34551">
      <w:pPr>
        <w:pStyle w:val="ListParagraph"/>
        <w:numPr>
          <w:ilvl w:val="0"/>
          <w:numId w:val="5"/>
        </w:numPr>
        <w:spacing w:after="0"/>
        <w:rPr>
          <w:rStyle w:val="normaltextrun"/>
          <w:rFonts w:ascii="Times New Roman" w:eastAsia="Times New Roman" w:hAnsi="Times New Roman" w:cs="Times New Roman"/>
        </w:rPr>
      </w:pPr>
      <w:r w:rsidRPr="1CD34551">
        <w:rPr>
          <w:rStyle w:val="normaltextrun"/>
          <w:rFonts w:ascii="Times New Roman" w:eastAsia="Times New Roman" w:hAnsi="Times New Roman" w:cs="Times New Roman"/>
          <w:b/>
          <w:bCs/>
        </w:rPr>
        <w:t xml:space="preserve">Quantitative reporting (molecular per microliter, MPM) </w:t>
      </w:r>
      <w:r w:rsidRPr="1CD34551">
        <w:rPr>
          <w:rStyle w:val="normaltextrun"/>
          <w:rFonts w:ascii="Times New Roman" w:eastAsia="Times New Roman" w:hAnsi="Times New Roman" w:cs="Times New Roman"/>
        </w:rPr>
        <w:t xml:space="preserve">generated by Karius Inc. has not been rigorously studied, may vary depending on the volume of blood or host factors at the time of collection, </w:t>
      </w:r>
      <w:r w:rsidRPr="1CD34551">
        <w:rPr>
          <w:rFonts w:ascii="Times New Roman" w:eastAsia="Times New Roman" w:hAnsi="Times New Roman" w:cs="Times New Roman"/>
        </w:rPr>
        <w:t>and can change drastically due to technical variations.</w:t>
      </w:r>
    </w:p>
    <w:p w14:paraId="0BB366E4" w14:textId="72FA0B8F" w:rsidR="0BF7D23D" w:rsidRDefault="60C747A4" w:rsidP="60C747A4">
      <w:pPr>
        <w:pStyle w:val="ListParagraph"/>
        <w:numPr>
          <w:ilvl w:val="0"/>
          <w:numId w:val="5"/>
        </w:numPr>
        <w:spacing w:after="0"/>
        <w:rPr>
          <w:rStyle w:val="normaltextrun"/>
          <w:rFonts w:ascii="Times New Roman" w:eastAsia="Times New Roman" w:hAnsi="Times New Roman" w:cs="Times New Roman"/>
        </w:rPr>
      </w:pPr>
      <w:r w:rsidRPr="60C747A4">
        <w:rPr>
          <w:rStyle w:val="normaltextrun"/>
          <w:rFonts w:ascii="Times New Roman" w:eastAsia="Times New Roman" w:hAnsi="Times New Roman" w:cs="Times New Roman"/>
          <w:b/>
          <w:bCs/>
        </w:rPr>
        <w:t xml:space="preserve">Antimicrobial resistance reporting </w:t>
      </w:r>
      <w:r w:rsidRPr="60C747A4">
        <w:rPr>
          <w:rStyle w:val="normaltextrun"/>
          <w:rFonts w:ascii="Times New Roman" w:eastAsia="Times New Roman" w:hAnsi="Times New Roman" w:cs="Times New Roman"/>
        </w:rPr>
        <w:t xml:space="preserve">by Karius is limited to selected pathogens and few select genomic markers of resistance (limited to mecA, mecC, vanA, vanB, KPC, and CTX-M) and does not encompass all potential resistance markers. </w:t>
      </w:r>
    </w:p>
    <w:p w14:paraId="369BDD90" w14:textId="5A08E552" w:rsidR="774EBC52" w:rsidRDefault="774EBC52" w:rsidP="774EBC52">
      <w:pPr>
        <w:spacing w:after="0"/>
        <w:rPr>
          <w:rFonts w:ascii="Times New Roman" w:eastAsia="Times New Roman" w:hAnsi="Times New Roman" w:cs="Times New Roman"/>
        </w:rPr>
      </w:pPr>
    </w:p>
    <w:p w14:paraId="4724BEA7" w14:textId="5711A46D" w:rsidR="774EBC52" w:rsidRDefault="774EBC52" w:rsidP="774EBC52">
      <w:pPr>
        <w:spacing w:after="0"/>
        <w:rPr>
          <w:rFonts w:ascii="Times New Roman" w:eastAsia="Times New Roman" w:hAnsi="Times New Roman" w:cs="Times New Roman"/>
          <w:b/>
          <w:bCs/>
          <w:u w:val="single"/>
        </w:rPr>
      </w:pPr>
    </w:p>
    <w:p w14:paraId="09185401" w14:textId="77777777" w:rsidR="00C650B1" w:rsidRDefault="00C650B1" w:rsidP="774EBC52">
      <w:pPr>
        <w:spacing w:after="0"/>
        <w:rPr>
          <w:rFonts w:ascii="Times New Roman" w:eastAsia="Times New Roman" w:hAnsi="Times New Roman" w:cs="Times New Roman"/>
          <w:b/>
          <w:bCs/>
          <w:u w:val="single"/>
        </w:rPr>
      </w:pPr>
    </w:p>
    <w:p w14:paraId="05062660" w14:textId="43680704" w:rsidR="774EBC52" w:rsidRDefault="774EBC52" w:rsidP="774EBC52">
      <w:pPr>
        <w:spacing w:after="0"/>
        <w:rPr>
          <w:rFonts w:ascii="Times New Roman" w:eastAsia="Times New Roman" w:hAnsi="Times New Roman" w:cs="Times New Roman"/>
          <w:b/>
          <w:bCs/>
          <w:u w:val="single"/>
        </w:rPr>
      </w:pPr>
    </w:p>
    <w:p w14:paraId="2E63900D" w14:textId="202A7DFA" w:rsidR="60C747A4" w:rsidRDefault="60C747A4" w:rsidP="60C747A4">
      <w:pPr>
        <w:spacing w:after="0"/>
        <w:rPr>
          <w:rFonts w:ascii="Times New Roman" w:eastAsia="Times New Roman" w:hAnsi="Times New Roman" w:cs="Times New Roman"/>
          <w:b/>
          <w:bCs/>
          <w:u w:val="single"/>
        </w:rPr>
      </w:pPr>
    </w:p>
    <w:p w14:paraId="56740709" w14:textId="5EA119D0" w:rsidR="60C747A4" w:rsidRDefault="625F798E" w:rsidP="625F798E">
      <w:pPr>
        <w:spacing w:after="0"/>
        <w:rPr>
          <w:rFonts w:ascii="Times New Roman" w:eastAsia="Times New Roman" w:hAnsi="Times New Roman" w:cs="Times New Roman"/>
          <w:b/>
          <w:bCs/>
          <w:u w:val="single"/>
        </w:rPr>
      </w:pPr>
      <w:r w:rsidRPr="625F798E">
        <w:rPr>
          <w:rFonts w:ascii="Times New Roman" w:eastAsia="Times New Roman" w:hAnsi="Times New Roman" w:cs="Times New Roman"/>
          <w:b/>
          <w:bCs/>
          <w:u w:val="single"/>
        </w:rPr>
        <w:lastRenderedPageBreak/>
        <w:t>Recommendations for providers considering plasma mNGS testing for their patients.</w:t>
      </w:r>
    </w:p>
    <w:p w14:paraId="1269843F" w14:textId="500CB09D" w:rsidR="774EBC52" w:rsidRDefault="774EBC52" w:rsidP="774EBC52">
      <w:pPr>
        <w:spacing w:after="0"/>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9360"/>
      </w:tblGrid>
      <w:tr w:rsidR="4FD45B4E" w14:paraId="61F2721B" w14:textId="77777777" w:rsidTr="10C26FBC">
        <w:trPr>
          <w:trHeight w:val="360"/>
        </w:trPr>
        <w:tc>
          <w:tcPr>
            <w:tcW w:w="9360" w:type="dxa"/>
            <w:shd w:val="clear" w:color="auto" w:fill="F1FAED"/>
          </w:tcPr>
          <w:p w14:paraId="2DFDB83F" w14:textId="364A3A9D" w:rsidR="4FD45B4E" w:rsidRDefault="625F798E" w:rsidP="4CEF5B3A">
            <w:pPr>
              <w:spacing w:after="240"/>
            </w:pPr>
            <w:r w:rsidRPr="625F798E">
              <w:rPr>
                <w:rFonts w:ascii="Times New Roman" w:eastAsia="Times New Roman" w:hAnsi="Times New Roman" w:cs="Times New Roman"/>
              </w:rPr>
              <w:t>Specific clinical syndromes where plasma mNGS testing has shown clinical utility</w:t>
            </w:r>
          </w:p>
        </w:tc>
      </w:tr>
      <w:tr w:rsidR="4FD45B4E" w14:paraId="70B833F1" w14:textId="77777777" w:rsidTr="10C26FBC">
        <w:trPr>
          <w:trHeight w:val="300"/>
        </w:trPr>
        <w:tc>
          <w:tcPr>
            <w:tcW w:w="9360" w:type="dxa"/>
            <w:shd w:val="clear" w:color="auto" w:fill="F1FAED"/>
          </w:tcPr>
          <w:p w14:paraId="151FD247" w14:textId="50822976" w:rsidR="4FD45B4E" w:rsidRDefault="4CEF5B3A" w:rsidP="4CEF5B3A">
            <w:pPr>
              <w:pStyle w:val="ListParagraph"/>
              <w:numPr>
                <w:ilvl w:val="0"/>
                <w:numId w:val="8"/>
              </w:numPr>
              <w:rPr>
                <w:rFonts w:ascii="Times New Roman" w:eastAsia="Times New Roman" w:hAnsi="Times New Roman" w:cs="Times New Roman"/>
              </w:rPr>
            </w:pPr>
            <w:r w:rsidRPr="4CEF5B3A">
              <w:rPr>
                <w:rFonts w:ascii="Times New Roman" w:eastAsia="Times New Roman" w:hAnsi="Times New Roman" w:cs="Times New Roman"/>
              </w:rPr>
              <w:t>Culture-negative endocarditis or endovascular infections with blood cultures negative for 48-72 hours</w:t>
            </w:r>
          </w:p>
        </w:tc>
      </w:tr>
      <w:tr w:rsidR="4FD45B4E" w14:paraId="0478589E" w14:textId="77777777" w:rsidTr="10C26FBC">
        <w:trPr>
          <w:trHeight w:val="300"/>
        </w:trPr>
        <w:tc>
          <w:tcPr>
            <w:tcW w:w="9360" w:type="dxa"/>
            <w:shd w:val="clear" w:color="auto" w:fill="F1FAED"/>
          </w:tcPr>
          <w:p w14:paraId="6C14DA17" w14:textId="603D03AD" w:rsidR="4FD45B4E" w:rsidRDefault="4CEF5B3A" w:rsidP="4CEF5B3A">
            <w:pPr>
              <w:pStyle w:val="ListParagraph"/>
              <w:numPr>
                <w:ilvl w:val="0"/>
                <w:numId w:val="8"/>
              </w:numPr>
              <w:rPr>
                <w:rFonts w:ascii="Times New Roman" w:eastAsia="Times New Roman" w:hAnsi="Times New Roman" w:cs="Times New Roman"/>
              </w:rPr>
            </w:pPr>
            <w:r w:rsidRPr="4CEF5B3A">
              <w:rPr>
                <w:rFonts w:ascii="Times New Roman" w:eastAsia="Times New Roman" w:hAnsi="Times New Roman" w:cs="Times New Roman"/>
              </w:rPr>
              <w:t>Concern for zoonotic or vector-borne pathogens</w:t>
            </w:r>
          </w:p>
        </w:tc>
      </w:tr>
      <w:tr w:rsidR="60C747A4" w14:paraId="3D91E9D5" w14:textId="77777777" w:rsidTr="10C26FBC">
        <w:trPr>
          <w:trHeight w:val="300"/>
        </w:trPr>
        <w:tc>
          <w:tcPr>
            <w:tcW w:w="9360" w:type="dxa"/>
            <w:shd w:val="clear" w:color="auto" w:fill="F1FAED"/>
          </w:tcPr>
          <w:p w14:paraId="7622657D" w14:textId="53AB58F9" w:rsidR="60C747A4" w:rsidRDefault="1F88D3BD" w:rsidP="60C747A4">
            <w:pPr>
              <w:pStyle w:val="ListParagraph"/>
              <w:numPr>
                <w:ilvl w:val="0"/>
                <w:numId w:val="8"/>
              </w:numPr>
              <w:rPr>
                <w:rFonts w:ascii="Times New Roman" w:eastAsia="Times New Roman" w:hAnsi="Times New Roman" w:cs="Times New Roman"/>
              </w:rPr>
            </w:pPr>
            <w:r w:rsidRPr="1F88D3BD">
              <w:rPr>
                <w:rFonts w:ascii="Times New Roman" w:eastAsia="Times New Roman" w:hAnsi="Times New Roman" w:cs="Times New Roman"/>
              </w:rPr>
              <w:t>Concern for certain fastidious pathogens (defined by ID)</w:t>
            </w:r>
          </w:p>
        </w:tc>
      </w:tr>
      <w:tr w:rsidR="4FD45B4E" w14:paraId="0BB99375" w14:textId="77777777" w:rsidTr="10C26FBC">
        <w:trPr>
          <w:trHeight w:val="300"/>
        </w:trPr>
        <w:tc>
          <w:tcPr>
            <w:tcW w:w="9360" w:type="dxa"/>
            <w:shd w:val="clear" w:color="auto" w:fill="F7F3D5"/>
          </w:tcPr>
          <w:p w14:paraId="71EF4F2C" w14:textId="203913A8" w:rsidR="4FD45B4E" w:rsidRDefault="625F798E" w:rsidP="4CEF5B3A">
            <w:r w:rsidRPr="625F798E">
              <w:rPr>
                <w:rFonts w:ascii="Times New Roman" w:eastAsia="Times New Roman" w:hAnsi="Times New Roman" w:cs="Times New Roman"/>
              </w:rPr>
              <w:t>Clinical scenarios where plasma mNGS testing may have clinical utility and may be considered, but more research studies needed to clarify the clinical impact</w:t>
            </w:r>
          </w:p>
        </w:tc>
      </w:tr>
      <w:tr w:rsidR="4FD45B4E" w14:paraId="5543F724" w14:textId="77777777" w:rsidTr="10C26FBC">
        <w:trPr>
          <w:trHeight w:val="300"/>
        </w:trPr>
        <w:tc>
          <w:tcPr>
            <w:tcW w:w="9360" w:type="dxa"/>
            <w:shd w:val="clear" w:color="auto" w:fill="F7F3D5"/>
          </w:tcPr>
          <w:p w14:paraId="5107DAD0" w14:textId="7586805C" w:rsidR="4FD45B4E" w:rsidRDefault="625F798E" w:rsidP="4CEF5B3A">
            <w:pPr>
              <w:pStyle w:val="ListParagraph"/>
              <w:numPr>
                <w:ilvl w:val="0"/>
                <w:numId w:val="7"/>
              </w:numPr>
              <w:rPr>
                <w:rFonts w:ascii="Times New Roman" w:eastAsia="Times New Roman" w:hAnsi="Times New Roman" w:cs="Times New Roman"/>
              </w:rPr>
            </w:pPr>
            <w:r w:rsidRPr="625F798E">
              <w:rPr>
                <w:rFonts w:ascii="Times New Roman" w:eastAsia="Times New Roman" w:hAnsi="Times New Roman" w:cs="Times New Roman"/>
              </w:rPr>
              <w:t>Pneumonia in immunocompromised patients (does not replace bronchoscopy or invasive tissue sampling given known sensitivity issue of plasma mNGS tests)</w:t>
            </w:r>
          </w:p>
        </w:tc>
      </w:tr>
      <w:tr w:rsidR="1F88D3BD" w14:paraId="10528321" w14:textId="77777777" w:rsidTr="10C26FBC">
        <w:trPr>
          <w:trHeight w:val="300"/>
        </w:trPr>
        <w:tc>
          <w:tcPr>
            <w:tcW w:w="9360" w:type="dxa"/>
            <w:shd w:val="clear" w:color="auto" w:fill="F7F3D5"/>
          </w:tcPr>
          <w:p w14:paraId="7180DA01" w14:textId="525A4E94" w:rsidR="1F88D3BD" w:rsidRDefault="5C5E9E5B" w:rsidP="1F88D3BD">
            <w:pPr>
              <w:pStyle w:val="ListParagraph"/>
              <w:numPr>
                <w:ilvl w:val="0"/>
                <w:numId w:val="7"/>
              </w:numPr>
              <w:rPr>
                <w:rFonts w:ascii="Times New Roman" w:eastAsia="Times New Roman" w:hAnsi="Times New Roman" w:cs="Times New Roman"/>
              </w:rPr>
            </w:pPr>
            <w:r w:rsidRPr="5C5E9E5B">
              <w:rPr>
                <w:rFonts w:ascii="Times New Roman" w:eastAsia="Times New Roman" w:hAnsi="Times New Roman" w:cs="Times New Roman"/>
              </w:rPr>
              <w:t>Invasive fungal infections</w:t>
            </w:r>
          </w:p>
        </w:tc>
      </w:tr>
      <w:tr w:rsidR="1F88D3BD" w14:paraId="6AF479D0" w14:textId="77777777" w:rsidTr="10C26FBC">
        <w:trPr>
          <w:trHeight w:val="300"/>
        </w:trPr>
        <w:tc>
          <w:tcPr>
            <w:tcW w:w="9360" w:type="dxa"/>
            <w:shd w:val="clear" w:color="auto" w:fill="F7F3D5"/>
          </w:tcPr>
          <w:p w14:paraId="1E8E2F06" w14:textId="02994DDD" w:rsidR="1F88D3BD" w:rsidRDefault="5C5E9E5B" w:rsidP="1F88D3BD">
            <w:pPr>
              <w:pStyle w:val="ListParagraph"/>
              <w:numPr>
                <w:ilvl w:val="0"/>
                <w:numId w:val="7"/>
              </w:numPr>
              <w:rPr>
                <w:rFonts w:ascii="Times New Roman" w:eastAsia="Times New Roman" w:hAnsi="Times New Roman" w:cs="Times New Roman"/>
              </w:rPr>
            </w:pPr>
            <w:r w:rsidRPr="5C5E9E5B">
              <w:rPr>
                <w:rFonts w:ascii="Times New Roman" w:eastAsia="Times New Roman" w:hAnsi="Times New Roman" w:cs="Times New Roman"/>
              </w:rPr>
              <w:t>Complicated pneumonia in pediatric patients if no pathogen on respiratory specimen or pleural testing and if it will change management</w:t>
            </w:r>
          </w:p>
        </w:tc>
      </w:tr>
      <w:tr w:rsidR="00AE2C88" w14:paraId="32AF00E3" w14:textId="77777777" w:rsidTr="10C26FBC">
        <w:trPr>
          <w:trHeight w:val="300"/>
        </w:trPr>
        <w:tc>
          <w:tcPr>
            <w:tcW w:w="9360" w:type="dxa"/>
            <w:shd w:val="clear" w:color="auto" w:fill="F7F3D5"/>
          </w:tcPr>
          <w:p w14:paraId="0255DA94" w14:textId="3F856874" w:rsidR="00AE2C88" w:rsidRPr="5C5E9E5B" w:rsidRDefault="00AE2C88" w:rsidP="1F88D3BD">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Deep-seated abscess if aspiration from the source is not possible</w:t>
            </w:r>
          </w:p>
        </w:tc>
      </w:tr>
      <w:tr w:rsidR="4FD45B4E" w14:paraId="18718BC3" w14:textId="77777777" w:rsidTr="10C26FBC">
        <w:trPr>
          <w:trHeight w:val="300"/>
        </w:trPr>
        <w:tc>
          <w:tcPr>
            <w:tcW w:w="9360" w:type="dxa"/>
            <w:shd w:val="clear" w:color="auto" w:fill="FAE2D4"/>
          </w:tcPr>
          <w:p w14:paraId="4C0F12C9" w14:textId="19013020" w:rsidR="4FD45B4E" w:rsidRDefault="5C5E9E5B" w:rsidP="4FD45B4E">
            <w:pPr>
              <w:rPr>
                <w:rFonts w:ascii="Times New Roman" w:eastAsia="Times New Roman" w:hAnsi="Times New Roman" w:cs="Times New Roman"/>
              </w:rPr>
            </w:pPr>
            <w:r w:rsidRPr="5C5E9E5B">
              <w:rPr>
                <w:rFonts w:ascii="Times New Roman" w:eastAsia="Times New Roman" w:hAnsi="Times New Roman" w:cs="Times New Roman"/>
              </w:rPr>
              <w:t>Plasma mNGS testing should NOT be performed for the following indications</w:t>
            </w:r>
          </w:p>
        </w:tc>
      </w:tr>
      <w:tr w:rsidR="4FD45B4E" w14:paraId="27831CFE" w14:textId="77777777" w:rsidTr="10C26FBC">
        <w:trPr>
          <w:trHeight w:val="300"/>
        </w:trPr>
        <w:tc>
          <w:tcPr>
            <w:tcW w:w="9360" w:type="dxa"/>
            <w:shd w:val="clear" w:color="auto" w:fill="FAE2D4"/>
          </w:tcPr>
          <w:p w14:paraId="043FAFB8" w14:textId="2DBCA9AE" w:rsidR="4FD45B4E" w:rsidRDefault="5C5E9E5B" w:rsidP="4CEF5B3A">
            <w:pPr>
              <w:pStyle w:val="ListParagraph"/>
              <w:numPr>
                <w:ilvl w:val="0"/>
                <w:numId w:val="6"/>
              </w:numPr>
              <w:rPr>
                <w:rFonts w:ascii="Times New Roman" w:eastAsia="Times New Roman" w:hAnsi="Times New Roman" w:cs="Times New Roman"/>
              </w:rPr>
            </w:pPr>
            <w:r w:rsidRPr="5C5E9E5B">
              <w:rPr>
                <w:rFonts w:ascii="Times New Roman" w:eastAsia="Times New Roman" w:hAnsi="Times New Roman" w:cs="Times New Roman"/>
              </w:rPr>
              <w:t>To perform serial molecular load monitoring; there are no published data validating the technology of quantification of organisms performed by Karius Inc. It is unknown whether the molecular load reported by Karius Inc (as MPM) can be reliably trended in different samples from the same patient.</w:t>
            </w:r>
          </w:p>
        </w:tc>
      </w:tr>
      <w:tr w:rsidR="60C747A4" w14:paraId="46BBEBAD" w14:textId="77777777" w:rsidTr="10C26FBC">
        <w:trPr>
          <w:trHeight w:val="300"/>
        </w:trPr>
        <w:tc>
          <w:tcPr>
            <w:tcW w:w="9360" w:type="dxa"/>
            <w:shd w:val="clear" w:color="auto" w:fill="FAE2D4"/>
          </w:tcPr>
          <w:p w14:paraId="47423441" w14:textId="317CF1E2" w:rsidR="60C747A4" w:rsidRDefault="5C5E9E5B" w:rsidP="60C747A4">
            <w:pPr>
              <w:pStyle w:val="ListParagraph"/>
              <w:numPr>
                <w:ilvl w:val="0"/>
                <w:numId w:val="6"/>
              </w:numPr>
              <w:rPr>
                <w:rFonts w:ascii="Times New Roman" w:eastAsia="Times New Roman" w:hAnsi="Times New Roman" w:cs="Times New Roman"/>
              </w:rPr>
            </w:pPr>
            <w:r w:rsidRPr="5C5E9E5B">
              <w:rPr>
                <w:rFonts w:ascii="Times New Roman" w:eastAsia="Times New Roman" w:hAnsi="Times New Roman" w:cs="Times New Roman"/>
              </w:rPr>
              <w:t>To obtain molecular burden for known pathogen for reasons listed above</w:t>
            </w:r>
          </w:p>
        </w:tc>
      </w:tr>
      <w:tr w:rsidR="60C747A4" w14:paraId="18B63B98" w14:textId="77777777" w:rsidTr="10C26FBC">
        <w:trPr>
          <w:trHeight w:val="300"/>
        </w:trPr>
        <w:tc>
          <w:tcPr>
            <w:tcW w:w="9360" w:type="dxa"/>
            <w:shd w:val="clear" w:color="auto" w:fill="FAE2D4"/>
          </w:tcPr>
          <w:p w14:paraId="39063A42" w14:textId="2ED6D50F" w:rsidR="60C747A4" w:rsidRDefault="5869B897" w:rsidP="60C747A4">
            <w:pPr>
              <w:pStyle w:val="ListParagraph"/>
              <w:numPr>
                <w:ilvl w:val="0"/>
                <w:numId w:val="6"/>
              </w:numPr>
              <w:rPr>
                <w:rFonts w:ascii="Times New Roman" w:eastAsia="Times New Roman" w:hAnsi="Times New Roman" w:cs="Times New Roman"/>
              </w:rPr>
            </w:pPr>
            <w:r w:rsidRPr="5869B897">
              <w:rPr>
                <w:rFonts w:ascii="Times New Roman" w:eastAsia="Times New Roman" w:hAnsi="Times New Roman" w:cs="Times New Roman"/>
              </w:rPr>
              <w:t xml:space="preserve">To confirm a known pathogen identified by other means </w:t>
            </w:r>
          </w:p>
        </w:tc>
      </w:tr>
      <w:tr w:rsidR="60C747A4" w14:paraId="0D9EFB26" w14:textId="77777777" w:rsidTr="10C26FBC">
        <w:trPr>
          <w:trHeight w:val="300"/>
        </w:trPr>
        <w:tc>
          <w:tcPr>
            <w:tcW w:w="9360" w:type="dxa"/>
            <w:shd w:val="clear" w:color="auto" w:fill="FAE2D4"/>
          </w:tcPr>
          <w:p w14:paraId="55ADF599" w14:textId="1FC408C9" w:rsidR="60C747A4" w:rsidRDefault="10C26FBC" w:rsidP="60C747A4">
            <w:pPr>
              <w:pStyle w:val="ListParagraph"/>
              <w:numPr>
                <w:ilvl w:val="0"/>
                <w:numId w:val="6"/>
              </w:numPr>
              <w:rPr>
                <w:rFonts w:ascii="Times New Roman" w:hAnsi="Times New Roman" w:cs="Times New Roman"/>
              </w:rPr>
            </w:pPr>
            <w:r w:rsidRPr="10C26FBC">
              <w:rPr>
                <w:rFonts w:ascii="Times New Roman" w:hAnsi="Times New Roman" w:cs="Times New Roman"/>
              </w:rPr>
              <w:t>Repeat testing for same patient within a 2-month time period, with the exception of a new clinical illness that may warrant the use of the test.</w:t>
            </w:r>
          </w:p>
        </w:tc>
      </w:tr>
      <w:tr w:rsidR="60C747A4" w14:paraId="717D8D50" w14:textId="77777777" w:rsidTr="10C26FBC">
        <w:trPr>
          <w:trHeight w:val="300"/>
        </w:trPr>
        <w:tc>
          <w:tcPr>
            <w:tcW w:w="9360" w:type="dxa"/>
            <w:shd w:val="clear" w:color="auto" w:fill="FAE2D4"/>
          </w:tcPr>
          <w:p w14:paraId="28C70F05" w14:textId="437A9230" w:rsidR="60C747A4" w:rsidRDefault="10C26FBC" w:rsidP="60C747A4">
            <w:pPr>
              <w:pStyle w:val="ListParagraph"/>
              <w:numPr>
                <w:ilvl w:val="0"/>
                <w:numId w:val="6"/>
              </w:numPr>
              <w:rPr>
                <w:rFonts w:ascii="Times New Roman" w:eastAsia="Times New Roman" w:hAnsi="Times New Roman" w:cs="Times New Roman"/>
              </w:rPr>
            </w:pPr>
            <w:r w:rsidRPr="10C26FBC">
              <w:rPr>
                <w:rFonts w:ascii="Times New Roman" w:eastAsia="Times New Roman" w:hAnsi="Times New Roman" w:cs="Times New Roman"/>
              </w:rPr>
              <w:t xml:space="preserve">Syndromes where plasma mNGS has been shown to have very low positive clinical impact: </w:t>
            </w:r>
          </w:p>
          <w:p w14:paraId="5C931DC9" w14:textId="04E09325" w:rsidR="60C747A4" w:rsidRDefault="60C747A4" w:rsidP="60C747A4">
            <w:pPr>
              <w:pStyle w:val="ListParagraph"/>
              <w:numPr>
                <w:ilvl w:val="1"/>
                <w:numId w:val="6"/>
              </w:numPr>
              <w:rPr>
                <w:rFonts w:ascii="Times New Roman" w:eastAsia="Times New Roman" w:hAnsi="Times New Roman" w:cs="Times New Roman"/>
              </w:rPr>
            </w:pPr>
            <w:r w:rsidRPr="60C747A4">
              <w:rPr>
                <w:rFonts w:ascii="Times New Roman" w:eastAsia="Times New Roman" w:hAnsi="Times New Roman" w:cs="Times New Roman"/>
              </w:rPr>
              <w:t>Hospital-onset fevers</w:t>
            </w:r>
          </w:p>
          <w:p w14:paraId="5A25FD29" w14:textId="3CC0E32C" w:rsidR="60C747A4" w:rsidRDefault="60C747A4" w:rsidP="60C747A4">
            <w:pPr>
              <w:pStyle w:val="ListParagraph"/>
              <w:numPr>
                <w:ilvl w:val="1"/>
                <w:numId w:val="6"/>
              </w:numPr>
              <w:rPr>
                <w:rFonts w:ascii="Times New Roman" w:eastAsia="Times New Roman" w:hAnsi="Times New Roman" w:cs="Times New Roman"/>
              </w:rPr>
            </w:pPr>
            <w:r w:rsidRPr="60C747A4">
              <w:rPr>
                <w:rFonts w:ascii="Times New Roman" w:eastAsia="Times New Roman" w:hAnsi="Times New Roman" w:cs="Times New Roman"/>
              </w:rPr>
              <w:t>Bacterial pneumonia in adult patients</w:t>
            </w:r>
          </w:p>
          <w:p w14:paraId="10BAB2F6" w14:textId="694F945E" w:rsidR="60C747A4" w:rsidRDefault="60C747A4" w:rsidP="60C747A4">
            <w:pPr>
              <w:pStyle w:val="ListParagraph"/>
              <w:numPr>
                <w:ilvl w:val="1"/>
                <w:numId w:val="6"/>
              </w:numPr>
              <w:rPr>
                <w:rFonts w:ascii="Times New Roman" w:eastAsia="Times New Roman" w:hAnsi="Times New Roman" w:cs="Times New Roman"/>
              </w:rPr>
            </w:pPr>
            <w:r w:rsidRPr="60C747A4">
              <w:rPr>
                <w:rFonts w:ascii="Times New Roman" w:eastAsia="Times New Roman" w:hAnsi="Times New Roman" w:cs="Times New Roman"/>
              </w:rPr>
              <w:t xml:space="preserve">Meningoencephalitis, particularly among adult patients </w:t>
            </w:r>
          </w:p>
          <w:p w14:paraId="13A3AAF9" w14:textId="5F3C2B23" w:rsidR="60C747A4" w:rsidRDefault="1F88D3BD" w:rsidP="60C747A4">
            <w:pPr>
              <w:pStyle w:val="ListParagraph"/>
              <w:numPr>
                <w:ilvl w:val="1"/>
                <w:numId w:val="6"/>
              </w:numPr>
              <w:rPr>
                <w:rFonts w:ascii="Times New Roman" w:eastAsia="Times New Roman" w:hAnsi="Times New Roman" w:cs="Times New Roman"/>
              </w:rPr>
            </w:pPr>
            <w:r w:rsidRPr="1F88D3BD">
              <w:rPr>
                <w:rFonts w:ascii="Times New Roman" w:eastAsia="Times New Roman" w:hAnsi="Times New Roman" w:cs="Times New Roman"/>
              </w:rPr>
              <w:t xml:space="preserve">Musculoskeletal infections </w:t>
            </w:r>
          </w:p>
          <w:p w14:paraId="2592B763" w14:textId="330DA845" w:rsidR="60C747A4" w:rsidRDefault="27E235F8" w:rsidP="60C747A4">
            <w:pPr>
              <w:pStyle w:val="ListParagraph"/>
              <w:numPr>
                <w:ilvl w:val="1"/>
                <w:numId w:val="6"/>
              </w:numPr>
              <w:rPr>
                <w:rFonts w:ascii="Times New Roman" w:eastAsia="Times New Roman" w:hAnsi="Times New Roman" w:cs="Times New Roman"/>
              </w:rPr>
            </w:pPr>
            <w:r w:rsidRPr="27E235F8">
              <w:rPr>
                <w:rFonts w:ascii="Times New Roman" w:eastAsia="Times New Roman" w:hAnsi="Times New Roman" w:cs="Times New Roman"/>
              </w:rPr>
              <w:t>Neutropenic fever</w:t>
            </w:r>
          </w:p>
          <w:p w14:paraId="4729809F" w14:textId="47F13296" w:rsidR="60C747A4" w:rsidRDefault="27E235F8" w:rsidP="27E235F8">
            <w:pPr>
              <w:pStyle w:val="ListParagraph"/>
              <w:numPr>
                <w:ilvl w:val="1"/>
                <w:numId w:val="6"/>
              </w:numPr>
              <w:rPr>
                <w:rFonts w:ascii="Times New Roman" w:eastAsia="Times New Roman" w:hAnsi="Times New Roman" w:cs="Times New Roman"/>
              </w:rPr>
            </w:pPr>
            <w:r w:rsidRPr="27E235F8">
              <w:rPr>
                <w:rFonts w:ascii="Times New Roman" w:eastAsia="Times New Roman" w:hAnsi="Times New Roman" w:cs="Times New Roman"/>
              </w:rPr>
              <w:t>Rule out infection in patients with suspected or established autoimmune diseases prior to starting immunosuppression</w:t>
            </w:r>
          </w:p>
        </w:tc>
      </w:tr>
    </w:tbl>
    <w:p w14:paraId="74D20569" w14:textId="61A34C4A" w:rsidR="00CE0AC1" w:rsidRDefault="27E235F8" w:rsidP="4FD45B4E">
      <w:pPr>
        <w:spacing w:before="240" w:after="240"/>
      </w:pPr>
      <w:r w:rsidRPr="27E235F8">
        <w:rPr>
          <w:rFonts w:ascii="Times New Roman" w:eastAsia="Times New Roman" w:hAnsi="Times New Roman" w:cs="Times New Roman"/>
        </w:rPr>
        <w:t xml:space="preserve">ID providers may consider ordering a virology hold for the purpose of mNGS assays when bronchoscopy or invasive tissue sampling has been done or another diagnostic test is pending, rather than sending the test up front. </w:t>
      </w:r>
    </w:p>
    <w:p w14:paraId="5F8A7CF2" w14:textId="77777777" w:rsidR="00AF137D" w:rsidRPr="00E05751" w:rsidRDefault="00AF137D" w:rsidP="00AF137D">
      <w:pPr>
        <w:pStyle w:val="ListParagraph"/>
        <w:rPr>
          <w:rFonts w:ascii="Times New Roman" w:hAnsi="Times New Roman" w:cs="Times New Roman"/>
        </w:rPr>
      </w:pPr>
    </w:p>
    <w:p w14:paraId="6F4FFB2E" w14:textId="6C0F69A4" w:rsidR="27E235F8" w:rsidRDefault="27E235F8" w:rsidP="27E235F8">
      <w:pPr>
        <w:pStyle w:val="ListParagraph"/>
        <w:rPr>
          <w:rFonts w:ascii="Times New Roman" w:hAnsi="Times New Roman" w:cs="Times New Roman"/>
        </w:rPr>
      </w:pPr>
    </w:p>
    <w:p w14:paraId="4D67137A" w14:textId="42FC0A72" w:rsidR="10C26FBC" w:rsidRDefault="10C26FBC" w:rsidP="10C26FBC">
      <w:pPr>
        <w:pStyle w:val="ListParagraph"/>
        <w:rPr>
          <w:rFonts w:ascii="Times New Roman" w:hAnsi="Times New Roman" w:cs="Times New Roman"/>
        </w:rPr>
      </w:pPr>
    </w:p>
    <w:p w14:paraId="1BDE61C8" w14:textId="77777777" w:rsidR="00C650B1" w:rsidRDefault="00C650B1" w:rsidP="10C26FBC">
      <w:pPr>
        <w:pStyle w:val="ListParagraph"/>
        <w:rPr>
          <w:rFonts w:ascii="Times New Roman" w:hAnsi="Times New Roman" w:cs="Times New Roman"/>
        </w:rPr>
      </w:pPr>
    </w:p>
    <w:p w14:paraId="6E956205" w14:textId="5962E816" w:rsidR="10C26FBC" w:rsidRDefault="10C26FBC" w:rsidP="10C26FBC">
      <w:pPr>
        <w:pStyle w:val="ListParagraph"/>
        <w:rPr>
          <w:rFonts w:ascii="Times New Roman" w:hAnsi="Times New Roman" w:cs="Times New Roman"/>
        </w:rPr>
      </w:pPr>
    </w:p>
    <w:p w14:paraId="312DACCD" w14:textId="20C2CCD9" w:rsidR="27E235F8" w:rsidRPr="00C650B1" w:rsidRDefault="27E235F8" w:rsidP="00C650B1">
      <w:pPr>
        <w:pStyle w:val="ListParagraph"/>
        <w:ind w:left="0"/>
        <w:rPr>
          <w:rFonts w:ascii="Times New Roman" w:hAnsi="Times New Roman" w:cs="Times New Roman"/>
          <w:b/>
          <w:bCs/>
        </w:rPr>
      </w:pPr>
      <w:r w:rsidRPr="00C650B1">
        <w:rPr>
          <w:rFonts w:ascii="Times New Roman" w:hAnsi="Times New Roman" w:cs="Times New Roman"/>
          <w:b/>
          <w:bCs/>
        </w:rPr>
        <w:lastRenderedPageBreak/>
        <w:t>References:</w:t>
      </w:r>
    </w:p>
    <w:p w14:paraId="5C12CC0F" w14:textId="69820B3F" w:rsidR="27E235F8" w:rsidRDefault="1CD34551" w:rsidP="2413C3A4">
      <w:pPr>
        <w:pStyle w:val="ListParagraph"/>
        <w:numPr>
          <w:ilvl w:val="0"/>
          <w:numId w:val="1"/>
        </w:numPr>
        <w:rPr>
          <w:rFonts w:ascii="Times New Roman" w:eastAsia="Times New Roman" w:hAnsi="Times New Roman" w:cs="Times New Roman"/>
        </w:rPr>
      </w:pPr>
      <w:r w:rsidRPr="1CD34551">
        <w:rPr>
          <w:rFonts w:ascii="Times New Roman" w:eastAsia="Times New Roman" w:hAnsi="Times New Roman" w:cs="Times New Roman"/>
        </w:rPr>
        <w:t xml:space="preserve">Hill JA, et al. Liquid biopsy for invasive mold infections in hematopoietic cell transplant recipients with pneumonia through next-generation sequencing of microbial cell-free DNA in plasma. Clin Infect </w:t>
      </w:r>
      <w:proofErr w:type="gramStart"/>
      <w:r w:rsidRPr="1CD34551">
        <w:rPr>
          <w:rFonts w:ascii="Times New Roman" w:eastAsia="Times New Roman" w:hAnsi="Times New Roman" w:cs="Times New Roman"/>
        </w:rPr>
        <w:t>Dis  2021</w:t>
      </w:r>
      <w:proofErr w:type="gramEnd"/>
      <w:r w:rsidRPr="1CD34551">
        <w:rPr>
          <w:rFonts w:ascii="Times New Roman" w:eastAsia="Times New Roman" w:hAnsi="Times New Roman" w:cs="Times New Roman"/>
        </w:rPr>
        <w:t xml:space="preserve">; </w:t>
      </w:r>
      <w:proofErr w:type="gramStart"/>
      <w:r w:rsidRPr="1CD34551">
        <w:rPr>
          <w:rFonts w:ascii="Times New Roman" w:eastAsia="Times New Roman" w:hAnsi="Times New Roman" w:cs="Times New Roman"/>
        </w:rPr>
        <w:t>73:e</w:t>
      </w:r>
      <w:proofErr w:type="gramEnd"/>
      <w:r w:rsidRPr="1CD34551">
        <w:rPr>
          <w:rFonts w:ascii="Times New Roman" w:eastAsia="Times New Roman" w:hAnsi="Times New Roman" w:cs="Times New Roman"/>
        </w:rPr>
        <w:t xml:space="preserve">3876–83. </w:t>
      </w:r>
    </w:p>
    <w:p w14:paraId="5FD6C5BF" w14:textId="1A0E5DA7" w:rsidR="27E235F8" w:rsidRDefault="1CD34551" w:rsidP="2413C3A4">
      <w:pPr>
        <w:pStyle w:val="ListParagraph"/>
        <w:numPr>
          <w:ilvl w:val="0"/>
          <w:numId w:val="1"/>
        </w:numPr>
        <w:rPr>
          <w:rFonts w:ascii="Times New Roman" w:eastAsia="Times New Roman" w:hAnsi="Times New Roman" w:cs="Times New Roman"/>
        </w:rPr>
      </w:pPr>
      <w:r w:rsidRPr="1CD34551">
        <w:rPr>
          <w:rFonts w:ascii="Times New Roman" w:eastAsia="Times New Roman" w:hAnsi="Times New Roman" w:cs="Times New Roman"/>
        </w:rPr>
        <w:t>Huygens S, et al. Diagnostic Value of Microbial Cell-free DNA Sequencing for Suspected Invasive Fungal Infections: A Retrospective Multicenter Cohort Study. Open Forum Infect Dis. 2024 May 3;11(6</w:t>
      </w:r>
      <w:proofErr w:type="gramStart"/>
      <w:r w:rsidRPr="1CD34551">
        <w:rPr>
          <w:rFonts w:ascii="Times New Roman" w:eastAsia="Times New Roman" w:hAnsi="Times New Roman" w:cs="Times New Roman"/>
        </w:rPr>
        <w:t>):ofae</w:t>
      </w:r>
      <w:proofErr w:type="gramEnd"/>
      <w:r w:rsidRPr="1CD34551">
        <w:rPr>
          <w:rFonts w:ascii="Times New Roman" w:eastAsia="Times New Roman" w:hAnsi="Times New Roman" w:cs="Times New Roman"/>
        </w:rPr>
        <w:t>252.</w:t>
      </w:r>
    </w:p>
    <w:p w14:paraId="08E41DF6" w14:textId="47867380" w:rsidR="27E235F8" w:rsidRDefault="2413C3A4" w:rsidP="2413C3A4">
      <w:pPr>
        <w:pStyle w:val="ListParagraph"/>
        <w:numPr>
          <w:ilvl w:val="0"/>
          <w:numId w:val="1"/>
        </w:numPr>
        <w:rPr>
          <w:rFonts w:ascii="Times New Roman" w:eastAsia="Times New Roman" w:hAnsi="Times New Roman" w:cs="Times New Roman"/>
        </w:rPr>
      </w:pPr>
      <w:r w:rsidRPr="2413C3A4">
        <w:rPr>
          <w:rFonts w:ascii="Times New Roman" w:eastAsia="Times New Roman" w:hAnsi="Times New Roman" w:cs="Times New Roman"/>
        </w:rPr>
        <w:t xml:space="preserve">Bergin SP, et al. Plasma microbial cell-free DNA sequencing in immunocompromised patients with pneumonia: a prospective observational study. Clin Infect Dis </w:t>
      </w:r>
      <w:proofErr w:type="gramStart"/>
      <w:r w:rsidRPr="2413C3A4">
        <w:rPr>
          <w:rFonts w:ascii="Times New Roman" w:eastAsia="Times New Roman" w:hAnsi="Times New Roman" w:cs="Times New Roman"/>
        </w:rPr>
        <w:t>2024;78:775</w:t>
      </w:r>
      <w:proofErr w:type="gramEnd"/>
      <w:r w:rsidRPr="2413C3A4">
        <w:rPr>
          <w:rFonts w:ascii="Times New Roman" w:eastAsia="Times New Roman" w:hAnsi="Times New Roman" w:cs="Times New Roman"/>
        </w:rPr>
        <w:t xml:space="preserve">–784. </w:t>
      </w:r>
    </w:p>
    <w:p w14:paraId="592EDBA6" w14:textId="71056309" w:rsidR="27E235F8" w:rsidRDefault="2413C3A4" w:rsidP="2413C3A4">
      <w:pPr>
        <w:pStyle w:val="ListParagraph"/>
        <w:numPr>
          <w:ilvl w:val="0"/>
          <w:numId w:val="1"/>
        </w:numPr>
        <w:rPr>
          <w:rFonts w:ascii="Times New Roman" w:eastAsia="Times New Roman" w:hAnsi="Times New Roman" w:cs="Times New Roman"/>
        </w:rPr>
      </w:pPr>
      <w:r w:rsidRPr="2413C3A4">
        <w:rPr>
          <w:rFonts w:ascii="Times New Roman" w:eastAsia="Times New Roman" w:hAnsi="Times New Roman" w:cs="Times New Roman"/>
        </w:rPr>
        <w:t>Kim M, et al. Illuminating the Challenges and Diagnostic Utility of Plasma Microbial Cell-Free DNA Sequencing in Suspected Infective Endocarditis: A Retrospective Observational Cohort Study. Open Forum Infect Dis. 2025 Feb 17;12(3</w:t>
      </w:r>
      <w:proofErr w:type="gramStart"/>
      <w:r w:rsidRPr="2413C3A4">
        <w:rPr>
          <w:rFonts w:ascii="Times New Roman" w:eastAsia="Times New Roman" w:hAnsi="Times New Roman" w:cs="Times New Roman"/>
        </w:rPr>
        <w:t>):ofaf</w:t>
      </w:r>
      <w:proofErr w:type="gramEnd"/>
      <w:r w:rsidRPr="2413C3A4">
        <w:rPr>
          <w:rFonts w:ascii="Times New Roman" w:eastAsia="Times New Roman" w:hAnsi="Times New Roman" w:cs="Times New Roman"/>
        </w:rPr>
        <w:t xml:space="preserve">099.  </w:t>
      </w:r>
    </w:p>
    <w:p w14:paraId="79694E83" w14:textId="0AFFAFB1" w:rsidR="27E235F8" w:rsidRDefault="1CD34551" w:rsidP="2413C3A4">
      <w:pPr>
        <w:pStyle w:val="ListParagraph"/>
        <w:numPr>
          <w:ilvl w:val="0"/>
          <w:numId w:val="1"/>
        </w:numPr>
        <w:rPr>
          <w:rFonts w:ascii="Times New Roman" w:eastAsia="Times New Roman" w:hAnsi="Times New Roman" w:cs="Times New Roman"/>
        </w:rPr>
      </w:pPr>
      <w:r w:rsidRPr="1CD34551">
        <w:rPr>
          <w:rFonts w:ascii="Times New Roman" w:eastAsia="Times New Roman" w:hAnsi="Times New Roman" w:cs="Times New Roman"/>
        </w:rPr>
        <w:t xml:space="preserve">Hogan CA, Yang S, Garner OB, et al. Clinical impact of metagenomic next-generation sequencing of plasma cell-free DNA for the diagnosis of infectious diseases: a multicenter retrospective cohort study. Clin Infect Dis </w:t>
      </w:r>
      <w:proofErr w:type="gramStart"/>
      <w:r w:rsidRPr="1CD34551">
        <w:rPr>
          <w:rFonts w:ascii="Times New Roman" w:eastAsia="Times New Roman" w:hAnsi="Times New Roman" w:cs="Times New Roman"/>
        </w:rPr>
        <w:t>2021;72:239</w:t>
      </w:r>
      <w:proofErr w:type="gramEnd"/>
      <w:r w:rsidRPr="1CD34551">
        <w:rPr>
          <w:rFonts w:ascii="Times New Roman" w:eastAsia="Times New Roman" w:hAnsi="Times New Roman" w:cs="Times New Roman"/>
        </w:rPr>
        <w:t xml:space="preserve">–245. </w:t>
      </w:r>
    </w:p>
    <w:p w14:paraId="7ACD0A77" w14:textId="4291AEC3" w:rsidR="1CD34551" w:rsidRDefault="1CD34551" w:rsidP="1CD34551">
      <w:pPr>
        <w:pStyle w:val="ListParagraph"/>
        <w:numPr>
          <w:ilvl w:val="0"/>
          <w:numId w:val="1"/>
        </w:numPr>
        <w:rPr>
          <w:rFonts w:ascii="Times New Roman" w:eastAsia="Times New Roman" w:hAnsi="Times New Roman" w:cs="Times New Roman"/>
        </w:rPr>
      </w:pPr>
      <w:r w:rsidRPr="1CD34551">
        <w:rPr>
          <w:rFonts w:ascii="Times New Roman" w:eastAsia="Times New Roman" w:hAnsi="Times New Roman" w:cs="Times New Roman"/>
        </w:rPr>
        <w:t xml:space="preserve">Benamu E, Gajurel K, Anderson JN, et al. Plasma microbial cell-free DNA next-generation sequencing in the diagnosis and management of febrile neutropenia. Clin Infect Dis </w:t>
      </w:r>
      <w:proofErr w:type="gramStart"/>
      <w:r w:rsidRPr="1CD34551">
        <w:rPr>
          <w:rFonts w:ascii="Times New Roman" w:eastAsia="Times New Roman" w:hAnsi="Times New Roman" w:cs="Times New Roman"/>
        </w:rPr>
        <w:t>2022;74:1659</w:t>
      </w:r>
      <w:proofErr w:type="gramEnd"/>
      <w:r w:rsidRPr="1CD34551">
        <w:rPr>
          <w:rFonts w:ascii="Times New Roman" w:eastAsia="Times New Roman" w:hAnsi="Times New Roman" w:cs="Times New Roman"/>
        </w:rPr>
        <w:t>–1668.</w:t>
      </w:r>
    </w:p>
    <w:p w14:paraId="36822CCE" w14:textId="1B097469" w:rsidR="27E235F8" w:rsidRDefault="1CD34551" w:rsidP="2413C3A4">
      <w:pPr>
        <w:pStyle w:val="ListParagraph"/>
        <w:numPr>
          <w:ilvl w:val="0"/>
          <w:numId w:val="1"/>
        </w:numPr>
        <w:rPr>
          <w:rFonts w:ascii="Times New Roman" w:eastAsia="Times New Roman" w:hAnsi="Times New Roman" w:cs="Times New Roman"/>
        </w:rPr>
      </w:pPr>
      <w:r w:rsidRPr="1CD34551">
        <w:rPr>
          <w:rFonts w:ascii="Times New Roman" w:eastAsia="Times New Roman" w:hAnsi="Times New Roman" w:cs="Times New Roman"/>
        </w:rPr>
        <w:t>Ranganath N, Khodadadi RB, Abu Saleh OM. Karius with a Q: role for microbial cell-free DNA next-generation sequencing in diagnosis of acute Q fever. Open Forum Infect Dis 2022;</w:t>
      </w:r>
      <w:proofErr w:type="gramStart"/>
      <w:r w:rsidRPr="1CD34551">
        <w:rPr>
          <w:rFonts w:ascii="Times New Roman" w:eastAsia="Times New Roman" w:hAnsi="Times New Roman" w:cs="Times New Roman"/>
        </w:rPr>
        <w:t>10:ofac</w:t>
      </w:r>
      <w:proofErr w:type="gramEnd"/>
      <w:r w:rsidRPr="1CD34551">
        <w:rPr>
          <w:rFonts w:ascii="Times New Roman" w:eastAsia="Times New Roman" w:hAnsi="Times New Roman" w:cs="Times New Roman"/>
        </w:rPr>
        <w:t>666.</w:t>
      </w:r>
    </w:p>
    <w:p w14:paraId="622B3590" w14:textId="2671A2F3" w:rsidR="27E235F8" w:rsidRDefault="1CD34551" w:rsidP="2413C3A4">
      <w:pPr>
        <w:pStyle w:val="ListParagraph"/>
        <w:numPr>
          <w:ilvl w:val="0"/>
          <w:numId w:val="1"/>
        </w:numPr>
        <w:rPr>
          <w:rFonts w:ascii="Times New Roman" w:eastAsia="Times New Roman" w:hAnsi="Times New Roman" w:cs="Times New Roman"/>
        </w:rPr>
      </w:pPr>
      <w:r w:rsidRPr="1CD34551">
        <w:rPr>
          <w:rFonts w:ascii="Times New Roman" w:eastAsia="Times New Roman" w:hAnsi="Times New Roman" w:cs="Times New Roman"/>
        </w:rPr>
        <w:t>Vissichelli NC, et al. Cell-free next-generation sequencing impacts diagnosis and antimicrobial therapy in immunocompromised hosts: A retrospective study. Transpl Infect Dis. 2023 Feb;25(1</w:t>
      </w:r>
      <w:proofErr w:type="gramStart"/>
      <w:r w:rsidRPr="1CD34551">
        <w:rPr>
          <w:rFonts w:ascii="Times New Roman" w:eastAsia="Times New Roman" w:hAnsi="Times New Roman" w:cs="Times New Roman"/>
        </w:rPr>
        <w:t>):e</w:t>
      </w:r>
      <w:proofErr w:type="gramEnd"/>
      <w:r w:rsidRPr="1CD34551">
        <w:rPr>
          <w:rFonts w:ascii="Times New Roman" w:eastAsia="Times New Roman" w:hAnsi="Times New Roman" w:cs="Times New Roman"/>
        </w:rPr>
        <w:t xml:space="preserve">13954.  </w:t>
      </w:r>
    </w:p>
    <w:p w14:paraId="36D569E2" w14:textId="03730137" w:rsidR="27E235F8" w:rsidRDefault="2413C3A4" w:rsidP="2413C3A4">
      <w:pPr>
        <w:pStyle w:val="ListParagraph"/>
        <w:numPr>
          <w:ilvl w:val="0"/>
          <w:numId w:val="1"/>
        </w:numPr>
        <w:rPr>
          <w:rFonts w:ascii="Times New Roman" w:eastAsia="Times New Roman" w:hAnsi="Times New Roman" w:cs="Times New Roman"/>
        </w:rPr>
      </w:pPr>
      <w:r w:rsidRPr="2413C3A4">
        <w:rPr>
          <w:rFonts w:ascii="Times New Roman" w:eastAsia="Times New Roman" w:hAnsi="Times New Roman" w:cs="Times New Roman"/>
        </w:rPr>
        <w:t xml:space="preserve">Shah JR, et al. Clinical utility of plasma microbial cell-free DNA sequencing in determining microbiologic etiology of infectious syndromes in solid organ transplant recipients. Ther Adv Infect Dis. 2024 Dec </w:t>
      </w:r>
      <w:proofErr w:type="gramStart"/>
      <w:r w:rsidRPr="2413C3A4">
        <w:rPr>
          <w:rFonts w:ascii="Times New Roman" w:eastAsia="Times New Roman" w:hAnsi="Times New Roman" w:cs="Times New Roman"/>
        </w:rPr>
        <w:t>23;11:20499361241308643</w:t>
      </w:r>
      <w:proofErr w:type="gramEnd"/>
      <w:r w:rsidRPr="2413C3A4">
        <w:rPr>
          <w:rFonts w:ascii="Times New Roman" w:eastAsia="Times New Roman" w:hAnsi="Times New Roman" w:cs="Times New Roman"/>
        </w:rPr>
        <w:t xml:space="preserve">.  </w:t>
      </w:r>
    </w:p>
    <w:p w14:paraId="7B7866D0" w14:textId="25375B1D" w:rsidR="27E235F8" w:rsidRDefault="2413C3A4" w:rsidP="2413C3A4">
      <w:pPr>
        <w:pStyle w:val="ListParagraph"/>
        <w:numPr>
          <w:ilvl w:val="0"/>
          <w:numId w:val="1"/>
        </w:numPr>
        <w:rPr>
          <w:rFonts w:ascii="Times New Roman" w:eastAsia="Times New Roman" w:hAnsi="Times New Roman" w:cs="Times New Roman"/>
        </w:rPr>
      </w:pPr>
      <w:r w:rsidRPr="2413C3A4">
        <w:rPr>
          <w:rFonts w:ascii="Times New Roman" w:eastAsia="Times New Roman" w:hAnsi="Times New Roman" w:cs="Times New Roman"/>
        </w:rPr>
        <w:t xml:space="preserve">Kaur I, Shaw B, Multani A, Pham C, Malhotra S, Smith E, Adachi K, Allyn P, Bango Z, Beaird OE, Caldera JR, Chandrasekaran S, Chan L, Cheema R, Daouk S, Deville J, Dong HV, Fan A, Garner O, Gaynor P, Gray H, Gorin A, Kalava S, Kanatani M, Karnaze A, Saleh T, Sharma Y, Stauber S, Vargas M, Veral M, Winston D, Yanagimoto-Ogawa L, Aldrovandi G, Nielsen-Saines K, Fuller T, Jackson N, Uslan D, Schaenman J, Vijayan T, Sakona A, Yang S. Real-world clinical impact of plasma cell-free DNA metagenomic next-generation sequencing assay. Infect Control Hosp Epidemiol. 2025 Jan 30;46(5):1-8. </w:t>
      </w:r>
    </w:p>
    <w:p w14:paraId="775DD927" w14:textId="71FB648D" w:rsidR="27E235F8" w:rsidRDefault="27E235F8" w:rsidP="2413C3A4">
      <w:pPr>
        <w:pStyle w:val="ListParagraph"/>
        <w:ind w:left="1080"/>
        <w:rPr>
          <w:rFonts w:ascii="Times New Roman" w:hAnsi="Times New Roman" w:cs="Times New Roman"/>
        </w:rPr>
      </w:pPr>
    </w:p>
    <w:sectPr w:rsidR="27E2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A69D"/>
    <w:multiLevelType w:val="hybridMultilevel"/>
    <w:tmpl w:val="4E3EFBC6"/>
    <w:lvl w:ilvl="0" w:tplc="980811A4">
      <w:start w:val="1"/>
      <w:numFmt w:val="bullet"/>
      <w:lvlText w:val=""/>
      <w:lvlJc w:val="left"/>
      <w:pPr>
        <w:ind w:left="720" w:hanging="360"/>
      </w:pPr>
      <w:rPr>
        <w:rFonts w:ascii="Symbol" w:hAnsi="Symbol" w:hint="default"/>
      </w:rPr>
    </w:lvl>
    <w:lvl w:ilvl="1" w:tplc="1D78E618">
      <w:start w:val="1"/>
      <w:numFmt w:val="bullet"/>
      <w:lvlText w:val="o"/>
      <w:lvlJc w:val="left"/>
      <w:pPr>
        <w:ind w:left="1440" w:hanging="360"/>
      </w:pPr>
      <w:rPr>
        <w:rFonts w:ascii="Courier New" w:hAnsi="Courier New" w:hint="default"/>
      </w:rPr>
    </w:lvl>
    <w:lvl w:ilvl="2" w:tplc="B87A9B3A">
      <w:start w:val="1"/>
      <w:numFmt w:val="bullet"/>
      <w:lvlText w:val=""/>
      <w:lvlJc w:val="left"/>
      <w:pPr>
        <w:ind w:left="720" w:hanging="360"/>
      </w:pPr>
      <w:rPr>
        <w:rFonts w:ascii="Wingdings" w:hAnsi="Wingdings" w:hint="default"/>
      </w:rPr>
    </w:lvl>
    <w:lvl w:ilvl="3" w:tplc="AE12711A">
      <w:start w:val="1"/>
      <w:numFmt w:val="bullet"/>
      <w:lvlText w:val=""/>
      <w:lvlJc w:val="left"/>
      <w:pPr>
        <w:ind w:left="2880" w:hanging="360"/>
      </w:pPr>
      <w:rPr>
        <w:rFonts w:ascii="Symbol" w:hAnsi="Symbol" w:hint="default"/>
      </w:rPr>
    </w:lvl>
    <w:lvl w:ilvl="4" w:tplc="516AB0CA">
      <w:start w:val="1"/>
      <w:numFmt w:val="bullet"/>
      <w:lvlText w:val="o"/>
      <w:lvlJc w:val="left"/>
      <w:pPr>
        <w:ind w:left="3600" w:hanging="360"/>
      </w:pPr>
      <w:rPr>
        <w:rFonts w:ascii="Courier New" w:hAnsi="Courier New" w:hint="default"/>
      </w:rPr>
    </w:lvl>
    <w:lvl w:ilvl="5" w:tplc="D1E4AC84">
      <w:start w:val="1"/>
      <w:numFmt w:val="bullet"/>
      <w:lvlText w:val=""/>
      <w:lvlJc w:val="left"/>
      <w:pPr>
        <w:ind w:left="4320" w:hanging="360"/>
      </w:pPr>
      <w:rPr>
        <w:rFonts w:ascii="Wingdings" w:hAnsi="Wingdings" w:hint="default"/>
      </w:rPr>
    </w:lvl>
    <w:lvl w:ilvl="6" w:tplc="DAFA3006">
      <w:start w:val="1"/>
      <w:numFmt w:val="bullet"/>
      <w:lvlText w:val=""/>
      <w:lvlJc w:val="left"/>
      <w:pPr>
        <w:ind w:left="5040" w:hanging="360"/>
      </w:pPr>
      <w:rPr>
        <w:rFonts w:ascii="Symbol" w:hAnsi="Symbol" w:hint="default"/>
      </w:rPr>
    </w:lvl>
    <w:lvl w:ilvl="7" w:tplc="D6588EAC">
      <w:start w:val="1"/>
      <w:numFmt w:val="bullet"/>
      <w:lvlText w:val="o"/>
      <w:lvlJc w:val="left"/>
      <w:pPr>
        <w:ind w:left="5760" w:hanging="360"/>
      </w:pPr>
      <w:rPr>
        <w:rFonts w:ascii="Courier New" w:hAnsi="Courier New" w:hint="default"/>
      </w:rPr>
    </w:lvl>
    <w:lvl w:ilvl="8" w:tplc="F4B685DC">
      <w:start w:val="1"/>
      <w:numFmt w:val="bullet"/>
      <w:lvlText w:val=""/>
      <w:lvlJc w:val="left"/>
      <w:pPr>
        <w:ind w:left="6480" w:hanging="360"/>
      </w:pPr>
      <w:rPr>
        <w:rFonts w:ascii="Wingdings" w:hAnsi="Wingdings" w:hint="default"/>
      </w:rPr>
    </w:lvl>
  </w:abstractNum>
  <w:abstractNum w:abstractNumId="1" w15:restartNumberingAfterBreak="0">
    <w:nsid w:val="07100D72"/>
    <w:multiLevelType w:val="hybridMultilevel"/>
    <w:tmpl w:val="233E7034"/>
    <w:lvl w:ilvl="0" w:tplc="07665192">
      <w:start w:val="1"/>
      <w:numFmt w:val="decimal"/>
      <w:lvlText w:val="%1."/>
      <w:lvlJc w:val="left"/>
      <w:pPr>
        <w:ind w:left="720" w:hanging="360"/>
      </w:pPr>
    </w:lvl>
    <w:lvl w:ilvl="1" w:tplc="C256E13E">
      <w:start w:val="1"/>
      <w:numFmt w:val="lowerLetter"/>
      <w:lvlText w:val="%2."/>
      <w:lvlJc w:val="left"/>
      <w:pPr>
        <w:ind w:left="1440" w:hanging="360"/>
      </w:pPr>
    </w:lvl>
    <w:lvl w:ilvl="2" w:tplc="ADC2735C">
      <w:start w:val="1"/>
      <w:numFmt w:val="lowerRoman"/>
      <w:lvlText w:val="%3."/>
      <w:lvlJc w:val="right"/>
      <w:pPr>
        <w:ind w:left="2160" w:hanging="180"/>
      </w:pPr>
    </w:lvl>
    <w:lvl w:ilvl="3" w:tplc="F1AE437A">
      <w:start w:val="1"/>
      <w:numFmt w:val="decimal"/>
      <w:lvlText w:val="%4."/>
      <w:lvlJc w:val="left"/>
      <w:pPr>
        <w:ind w:left="2880" w:hanging="360"/>
      </w:pPr>
    </w:lvl>
    <w:lvl w:ilvl="4" w:tplc="193C9600">
      <w:start w:val="1"/>
      <w:numFmt w:val="lowerLetter"/>
      <w:lvlText w:val="%5."/>
      <w:lvlJc w:val="left"/>
      <w:pPr>
        <w:ind w:left="3600" w:hanging="360"/>
      </w:pPr>
    </w:lvl>
    <w:lvl w:ilvl="5" w:tplc="FFF87128">
      <w:start w:val="1"/>
      <w:numFmt w:val="lowerRoman"/>
      <w:lvlText w:val="%6."/>
      <w:lvlJc w:val="right"/>
      <w:pPr>
        <w:ind w:left="4320" w:hanging="180"/>
      </w:pPr>
    </w:lvl>
    <w:lvl w:ilvl="6" w:tplc="67E4F1CC">
      <w:start w:val="1"/>
      <w:numFmt w:val="decimal"/>
      <w:lvlText w:val="%7."/>
      <w:lvlJc w:val="left"/>
      <w:pPr>
        <w:ind w:left="5040" w:hanging="360"/>
      </w:pPr>
    </w:lvl>
    <w:lvl w:ilvl="7" w:tplc="CD061358">
      <w:start w:val="1"/>
      <w:numFmt w:val="lowerLetter"/>
      <w:lvlText w:val="%8."/>
      <w:lvlJc w:val="left"/>
      <w:pPr>
        <w:ind w:left="5760" w:hanging="360"/>
      </w:pPr>
    </w:lvl>
    <w:lvl w:ilvl="8" w:tplc="7FF0A176">
      <w:start w:val="1"/>
      <w:numFmt w:val="lowerRoman"/>
      <w:lvlText w:val="%9."/>
      <w:lvlJc w:val="right"/>
      <w:pPr>
        <w:ind w:left="6480" w:hanging="180"/>
      </w:pPr>
    </w:lvl>
  </w:abstractNum>
  <w:abstractNum w:abstractNumId="2" w15:restartNumberingAfterBreak="0">
    <w:nsid w:val="0D97B378"/>
    <w:multiLevelType w:val="hybridMultilevel"/>
    <w:tmpl w:val="DF3A5522"/>
    <w:lvl w:ilvl="0" w:tplc="839433F4">
      <w:start w:val="1"/>
      <w:numFmt w:val="decimal"/>
      <w:lvlText w:val="%1."/>
      <w:lvlJc w:val="left"/>
      <w:pPr>
        <w:ind w:left="1080" w:hanging="360"/>
      </w:pPr>
    </w:lvl>
    <w:lvl w:ilvl="1" w:tplc="659A62DC">
      <w:start w:val="1"/>
      <w:numFmt w:val="lowerLetter"/>
      <w:lvlText w:val="%2."/>
      <w:lvlJc w:val="left"/>
      <w:pPr>
        <w:ind w:left="1800" w:hanging="360"/>
      </w:pPr>
    </w:lvl>
    <w:lvl w:ilvl="2" w:tplc="2EA624E4">
      <w:start w:val="1"/>
      <w:numFmt w:val="lowerRoman"/>
      <w:lvlText w:val="%3."/>
      <w:lvlJc w:val="right"/>
      <w:pPr>
        <w:ind w:left="2520" w:hanging="180"/>
      </w:pPr>
    </w:lvl>
    <w:lvl w:ilvl="3" w:tplc="BDA4BDCC">
      <w:start w:val="1"/>
      <w:numFmt w:val="decimal"/>
      <w:lvlText w:val="%4."/>
      <w:lvlJc w:val="left"/>
      <w:pPr>
        <w:ind w:left="3240" w:hanging="360"/>
      </w:pPr>
    </w:lvl>
    <w:lvl w:ilvl="4" w:tplc="B13CD57A">
      <w:start w:val="1"/>
      <w:numFmt w:val="lowerLetter"/>
      <w:lvlText w:val="%5."/>
      <w:lvlJc w:val="left"/>
      <w:pPr>
        <w:ind w:left="3960" w:hanging="360"/>
      </w:pPr>
    </w:lvl>
    <w:lvl w:ilvl="5" w:tplc="6030A4D0">
      <w:start w:val="1"/>
      <w:numFmt w:val="lowerRoman"/>
      <w:lvlText w:val="%6."/>
      <w:lvlJc w:val="right"/>
      <w:pPr>
        <w:ind w:left="4680" w:hanging="180"/>
      </w:pPr>
    </w:lvl>
    <w:lvl w:ilvl="6" w:tplc="3B7667E2">
      <w:start w:val="1"/>
      <w:numFmt w:val="decimal"/>
      <w:lvlText w:val="%7."/>
      <w:lvlJc w:val="left"/>
      <w:pPr>
        <w:ind w:left="5400" w:hanging="360"/>
      </w:pPr>
    </w:lvl>
    <w:lvl w:ilvl="7" w:tplc="D5526642">
      <w:start w:val="1"/>
      <w:numFmt w:val="lowerLetter"/>
      <w:lvlText w:val="%8."/>
      <w:lvlJc w:val="left"/>
      <w:pPr>
        <w:ind w:left="6120" w:hanging="360"/>
      </w:pPr>
    </w:lvl>
    <w:lvl w:ilvl="8" w:tplc="5F0601EA">
      <w:start w:val="1"/>
      <w:numFmt w:val="lowerRoman"/>
      <w:lvlText w:val="%9."/>
      <w:lvlJc w:val="right"/>
      <w:pPr>
        <w:ind w:left="6840" w:hanging="180"/>
      </w:pPr>
    </w:lvl>
  </w:abstractNum>
  <w:abstractNum w:abstractNumId="3" w15:restartNumberingAfterBreak="0">
    <w:nsid w:val="1277C379"/>
    <w:multiLevelType w:val="hybridMultilevel"/>
    <w:tmpl w:val="8C1EE8E4"/>
    <w:lvl w:ilvl="0" w:tplc="05DE8B06">
      <w:start w:val="1"/>
      <w:numFmt w:val="bullet"/>
      <w:lvlText w:val=""/>
      <w:lvlJc w:val="left"/>
      <w:pPr>
        <w:ind w:left="1080" w:hanging="360"/>
      </w:pPr>
      <w:rPr>
        <w:rFonts w:ascii="Symbol" w:hAnsi="Symbol" w:hint="default"/>
      </w:rPr>
    </w:lvl>
    <w:lvl w:ilvl="1" w:tplc="F184F19C">
      <w:start w:val="1"/>
      <w:numFmt w:val="bullet"/>
      <w:lvlText w:val="o"/>
      <w:lvlJc w:val="left"/>
      <w:pPr>
        <w:ind w:left="1440" w:hanging="360"/>
      </w:pPr>
      <w:rPr>
        <w:rFonts w:ascii="Courier New" w:hAnsi="Courier New" w:hint="default"/>
      </w:rPr>
    </w:lvl>
    <w:lvl w:ilvl="2" w:tplc="6F4AD1BC">
      <w:start w:val="1"/>
      <w:numFmt w:val="bullet"/>
      <w:lvlText w:val=""/>
      <w:lvlJc w:val="left"/>
      <w:pPr>
        <w:ind w:left="2160" w:hanging="360"/>
      </w:pPr>
      <w:rPr>
        <w:rFonts w:ascii="Wingdings" w:hAnsi="Wingdings" w:hint="default"/>
      </w:rPr>
    </w:lvl>
    <w:lvl w:ilvl="3" w:tplc="9DE4C6AA">
      <w:start w:val="1"/>
      <w:numFmt w:val="bullet"/>
      <w:lvlText w:val=""/>
      <w:lvlJc w:val="left"/>
      <w:pPr>
        <w:ind w:left="2880" w:hanging="360"/>
      </w:pPr>
      <w:rPr>
        <w:rFonts w:ascii="Symbol" w:hAnsi="Symbol" w:hint="default"/>
      </w:rPr>
    </w:lvl>
    <w:lvl w:ilvl="4" w:tplc="16D2D8AE">
      <w:start w:val="1"/>
      <w:numFmt w:val="bullet"/>
      <w:lvlText w:val="o"/>
      <w:lvlJc w:val="left"/>
      <w:pPr>
        <w:ind w:left="3600" w:hanging="360"/>
      </w:pPr>
      <w:rPr>
        <w:rFonts w:ascii="Courier New" w:hAnsi="Courier New" w:hint="default"/>
      </w:rPr>
    </w:lvl>
    <w:lvl w:ilvl="5" w:tplc="06D2F9AC">
      <w:start w:val="1"/>
      <w:numFmt w:val="bullet"/>
      <w:lvlText w:val=""/>
      <w:lvlJc w:val="left"/>
      <w:pPr>
        <w:ind w:left="4320" w:hanging="360"/>
      </w:pPr>
      <w:rPr>
        <w:rFonts w:ascii="Wingdings" w:hAnsi="Wingdings" w:hint="default"/>
      </w:rPr>
    </w:lvl>
    <w:lvl w:ilvl="6" w:tplc="DCEE4C7E">
      <w:start w:val="1"/>
      <w:numFmt w:val="bullet"/>
      <w:lvlText w:val=""/>
      <w:lvlJc w:val="left"/>
      <w:pPr>
        <w:ind w:left="5040" w:hanging="360"/>
      </w:pPr>
      <w:rPr>
        <w:rFonts w:ascii="Symbol" w:hAnsi="Symbol" w:hint="default"/>
      </w:rPr>
    </w:lvl>
    <w:lvl w:ilvl="7" w:tplc="E86AC11A">
      <w:start w:val="1"/>
      <w:numFmt w:val="bullet"/>
      <w:lvlText w:val="o"/>
      <w:lvlJc w:val="left"/>
      <w:pPr>
        <w:ind w:left="5760" w:hanging="360"/>
      </w:pPr>
      <w:rPr>
        <w:rFonts w:ascii="Courier New" w:hAnsi="Courier New" w:hint="default"/>
      </w:rPr>
    </w:lvl>
    <w:lvl w:ilvl="8" w:tplc="B51A362C">
      <w:start w:val="1"/>
      <w:numFmt w:val="bullet"/>
      <w:lvlText w:val=""/>
      <w:lvlJc w:val="left"/>
      <w:pPr>
        <w:ind w:left="6480" w:hanging="360"/>
      </w:pPr>
      <w:rPr>
        <w:rFonts w:ascii="Wingdings" w:hAnsi="Wingdings" w:hint="default"/>
      </w:rPr>
    </w:lvl>
  </w:abstractNum>
  <w:abstractNum w:abstractNumId="4" w15:restartNumberingAfterBreak="0">
    <w:nsid w:val="36470A79"/>
    <w:multiLevelType w:val="hybridMultilevel"/>
    <w:tmpl w:val="A6A6A814"/>
    <w:lvl w:ilvl="0" w:tplc="E656F362">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0C025"/>
    <w:multiLevelType w:val="hybridMultilevel"/>
    <w:tmpl w:val="4CEEBB10"/>
    <w:lvl w:ilvl="0" w:tplc="040A5D8E">
      <w:start w:val="1"/>
      <w:numFmt w:val="decimal"/>
      <w:lvlText w:val="%1."/>
      <w:lvlJc w:val="left"/>
      <w:pPr>
        <w:ind w:left="720" w:hanging="360"/>
      </w:pPr>
    </w:lvl>
    <w:lvl w:ilvl="1" w:tplc="92B0E340">
      <w:start w:val="1"/>
      <w:numFmt w:val="lowerLetter"/>
      <w:lvlText w:val="%2."/>
      <w:lvlJc w:val="left"/>
      <w:pPr>
        <w:ind w:left="1440" w:hanging="360"/>
      </w:pPr>
    </w:lvl>
    <w:lvl w:ilvl="2" w:tplc="D0FC035C">
      <w:start w:val="1"/>
      <w:numFmt w:val="lowerRoman"/>
      <w:lvlText w:val="%3."/>
      <w:lvlJc w:val="right"/>
      <w:pPr>
        <w:ind w:left="2160" w:hanging="180"/>
      </w:pPr>
    </w:lvl>
    <w:lvl w:ilvl="3" w:tplc="2870A7AE">
      <w:start w:val="1"/>
      <w:numFmt w:val="decimal"/>
      <w:lvlText w:val="%4."/>
      <w:lvlJc w:val="left"/>
      <w:pPr>
        <w:ind w:left="2880" w:hanging="360"/>
      </w:pPr>
    </w:lvl>
    <w:lvl w:ilvl="4" w:tplc="57527D7A">
      <w:start w:val="1"/>
      <w:numFmt w:val="lowerLetter"/>
      <w:lvlText w:val="%5."/>
      <w:lvlJc w:val="left"/>
      <w:pPr>
        <w:ind w:left="3600" w:hanging="360"/>
      </w:pPr>
    </w:lvl>
    <w:lvl w:ilvl="5" w:tplc="4F7A82E6">
      <w:start w:val="1"/>
      <w:numFmt w:val="lowerRoman"/>
      <w:lvlText w:val="%6."/>
      <w:lvlJc w:val="right"/>
      <w:pPr>
        <w:ind w:left="4320" w:hanging="180"/>
      </w:pPr>
    </w:lvl>
    <w:lvl w:ilvl="6" w:tplc="5A9A222C">
      <w:start w:val="1"/>
      <w:numFmt w:val="decimal"/>
      <w:lvlText w:val="%7."/>
      <w:lvlJc w:val="left"/>
      <w:pPr>
        <w:ind w:left="5040" w:hanging="360"/>
      </w:pPr>
    </w:lvl>
    <w:lvl w:ilvl="7" w:tplc="365CEECE">
      <w:start w:val="1"/>
      <w:numFmt w:val="lowerLetter"/>
      <w:lvlText w:val="%8."/>
      <w:lvlJc w:val="left"/>
      <w:pPr>
        <w:ind w:left="5760" w:hanging="360"/>
      </w:pPr>
    </w:lvl>
    <w:lvl w:ilvl="8" w:tplc="E274398E">
      <w:start w:val="1"/>
      <w:numFmt w:val="lowerRoman"/>
      <w:lvlText w:val="%9."/>
      <w:lvlJc w:val="right"/>
      <w:pPr>
        <w:ind w:left="6480" w:hanging="180"/>
      </w:pPr>
    </w:lvl>
  </w:abstractNum>
  <w:abstractNum w:abstractNumId="6" w15:restartNumberingAfterBreak="0">
    <w:nsid w:val="552858C6"/>
    <w:multiLevelType w:val="hybridMultilevel"/>
    <w:tmpl w:val="0D664BEE"/>
    <w:lvl w:ilvl="0" w:tplc="3B62A0DE">
      <w:start w:val="1"/>
      <w:numFmt w:val="decimal"/>
      <w:lvlText w:val="%1."/>
      <w:lvlJc w:val="left"/>
      <w:pPr>
        <w:ind w:left="720" w:hanging="360"/>
      </w:pPr>
    </w:lvl>
    <w:lvl w:ilvl="1" w:tplc="D4AE8D16">
      <w:start w:val="1"/>
      <w:numFmt w:val="lowerLetter"/>
      <w:lvlText w:val="%2."/>
      <w:lvlJc w:val="left"/>
      <w:pPr>
        <w:ind w:left="1440" w:hanging="360"/>
      </w:pPr>
    </w:lvl>
    <w:lvl w:ilvl="2" w:tplc="F84C4640">
      <w:start w:val="1"/>
      <w:numFmt w:val="lowerRoman"/>
      <w:lvlText w:val="%3."/>
      <w:lvlJc w:val="right"/>
      <w:pPr>
        <w:ind w:left="2160" w:hanging="180"/>
      </w:pPr>
    </w:lvl>
    <w:lvl w:ilvl="3" w:tplc="5DCCF046">
      <w:start w:val="1"/>
      <w:numFmt w:val="decimal"/>
      <w:lvlText w:val="%4."/>
      <w:lvlJc w:val="left"/>
      <w:pPr>
        <w:ind w:left="2880" w:hanging="360"/>
      </w:pPr>
    </w:lvl>
    <w:lvl w:ilvl="4" w:tplc="6E76FD9A">
      <w:start w:val="1"/>
      <w:numFmt w:val="lowerLetter"/>
      <w:lvlText w:val="%5."/>
      <w:lvlJc w:val="left"/>
      <w:pPr>
        <w:ind w:left="3600" w:hanging="360"/>
      </w:pPr>
    </w:lvl>
    <w:lvl w:ilvl="5" w:tplc="A2FE80D4">
      <w:start w:val="1"/>
      <w:numFmt w:val="lowerRoman"/>
      <w:lvlText w:val="%6."/>
      <w:lvlJc w:val="right"/>
      <w:pPr>
        <w:ind w:left="4320" w:hanging="180"/>
      </w:pPr>
    </w:lvl>
    <w:lvl w:ilvl="6" w:tplc="B7165372">
      <w:start w:val="1"/>
      <w:numFmt w:val="decimal"/>
      <w:lvlText w:val="%7."/>
      <w:lvlJc w:val="left"/>
      <w:pPr>
        <w:ind w:left="5040" w:hanging="360"/>
      </w:pPr>
    </w:lvl>
    <w:lvl w:ilvl="7" w:tplc="9D1CBC54">
      <w:start w:val="1"/>
      <w:numFmt w:val="lowerLetter"/>
      <w:lvlText w:val="%8."/>
      <w:lvlJc w:val="left"/>
      <w:pPr>
        <w:ind w:left="5760" w:hanging="360"/>
      </w:pPr>
    </w:lvl>
    <w:lvl w:ilvl="8" w:tplc="729AD6B0">
      <w:start w:val="1"/>
      <w:numFmt w:val="lowerRoman"/>
      <w:lvlText w:val="%9."/>
      <w:lvlJc w:val="right"/>
      <w:pPr>
        <w:ind w:left="6480" w:hanging="180"/>
      </w:pPr>
    </w:lvl>
  </w:abstractNum>
  <w:abstractNum w:abstractNumId="7" w15:restartNumberingAfterBreak="0">
    <w:nsid w:val="739F4798"/>
    <w:multiLevelType w:val="hybridMultilevel"/>
    <w:tmpl w:val="293E774C"/>
    <w:lvl w:ilvl="0" w:tplc="3BB605A4">
      <w:start w:val="1"/>
      <w:numFmt w:val="bullet"/>
      <w:lvlText w:val=""/>
      <w:lvlJc w:val="left"/>
      <w:pPr>
        <w:ind w:left="720" w:hanging="360"/>
      </w:pPr>
      <w:rPr>
        <w:rFonts w:ascii="Symbol" w:hAnsi="Symbol" w:hint="default"/>
      </w:rPr>
    </w:lvl>
    <w:lvl w:ilvl="1" w:tplc="B726E1F4">
      <w:start w:val="1"/>
      <w:numFmt w:val="bullet"/>
      <w:lvlText w:val="o"/>
      <w:lvlJc w:val="left"/>
      <w:pPr>
        <w:ind w:left="1440" w:hanging="360"/>
      </w:pPr>
      <w:rPr>
        <w:rFonts w:ascii="Courier New" w:hAnsi="Courier New" w:hint="default"/>
      </w:rPr>
    </w:lvl>
    <w:lvl w:ilvl="2" w:tplc="11E49712">
      <w:start w:val="1"/>
      <w:numFmt w:val="bullet"/>
      <w:lvlText w:val=""/>
      <w:lvlJc w:val="left"/>
      <w:pPr>
        <w:ind w:left="2160" w:hanging="360"/>
      </w:pPr>
      <w:rPr>
        <w:rFonts w:ascii="Wingdings" w:hAnsi="Wingdings" w:hint="default"/>
      </w:rPr>
    </w:lvl>
    <w:lvl w:ilvl="3" w:tplc="0A6E5C2E">
      <w:start w:val="1"/>
      <w:numFmt w:val="bullet"/>
      <w:lvlText w:val=""/>
      <w:lvlJc w:val="left"/>
      <w:pPr>
        <w:ind w:left="2880" w:hanging="360"/>
      </w:pPr>
      <w:rPr>
        <w:rFonts w:ascii="Symbol" w:hAnsi="Symbol" w:hint="default"/>
      </w:rPr>
    </w:lvl>
    <w:lvl w:ilvl="4" w:tplc="EB6E740A">
      <w:start w:val="1"/>
      <w:numFmt w:val="bullet"/>
      <w:lvlText w:val="o"/>
      <w:lvlJc w:val="left"/>
      <w:pPr>
        <w:ind w:left="3600" w:hanging="360"/>
      </w:pPr>
      <w:rPr>
        <w:rFonts w:ascii="Courier New" w:hAnsi="Courier New" w:hint="default"/>
      </w:rPr>
    </w:lvl>
    <w:lvl w:ilvl="5" w:tplc="334EB75A">
      <w:start w:val="1"/>
      <w:numFmt w:val="bullet"/>
      <w:lvlText w:val=""/>
      <w:lvlJc w:val="left"/>
      <w:pPr>
        <w:ind w:left="4320" w:hanging="360"/>
      </w:pPr>
      <w:rPr>
        <w:rFonts w:ascii="Wingdings" w:hAnsi="Wingdings" w:hint="default"/>
      </w:rPr>
    </w:lvl>
    <w:lvl w:ilvl="6" w:tplc="73E69C7A">
      <w:start w:val="1"/>
      <w:numFmt w:val="bullet"/>
      <w:lvlText w:val=""/>
      <w:lvlJc w:val="left"/>
      <w:pPr>
        <w:ind w:left="5040" w:hanging="360"/>
      </w:pPr>
      <w:rPr>
        <w:rFonts w:ascii="Symbol" w:hAnsi="Symbol" w:hint="default"/>
      </w:rPr>
    </w:lvl>
    <w:lvl w:ilvl="7" w:tplc="A602354A">
      <w:start w:val="1"/>
      <w:numFmt w:val="bullet"/>
      <w:lvlText w:val="o"/>
      <w:lvlJc w:val="left"/>
      <w:pPr>
        <w:ind w:left="5760" w:hanging="360"/>
      </w:pPr>
      <w:rPr>
        <w:rFonts w:ascii="Courier New" w:hAnsi="Courier New" w:hint="default"/>
      </w:rPr>
    </w:lvl>
    <w:lvl w:ilvl="8" w:tplc="CDE2EB4C">
      <w:start w:val="1"/>
      <w:numFmt w:val="bullet"/>
      <w:lvlText w:val=""/>
      <w:lvlJc w:val="left"/>
      <w:pPr>
        <w:ind w:left="6480" w:hanging="360"/>
      </w:pPr>
      <w:rPr>
        <w:rFonts w:ascii="Wingdings" w:hAnsi="Wingdings" w:hint="default"/>
      </w:rPr>
    </w:lvl>
  </w:abstractNum>
  <w:abstractNum w:abstractNumId="8" w15:restartNumberingAfterBreak="0">
    <w:nsid w:val="7BA44DF1"/>
    <w:multiLevelType w:val="hybridMultilevel"/>
    <w:tmpl w:val="3BD8553E"/>
    <w:lvl w:ilvl="0" w:tplc="A6D82F56">
      <w:start w:val="1"/>
      <w:numFmt w:val="decimal"/>
      <w:lvlText w:val="%1."/>
      <w:lvlJc w:val="left"/>
      <w:pPr>
        <w:ind w:left="720" w:hanging="360"/>
      </w:pPr>
    </w:lvl>
    <w:lvl w:ilvl="1" w:tplc="61767198">
      <w:start w:val="1"/>
      <w:numFmt w:val="lowerLetter"/>
      <w:lvlText w:val="%2."/>
      <w:lvlJc w:val="left"/>
      <w:pPr>
        <w:ind w:left="1440" w:hanging="360"/>
      </w:pPr>
    </w:lvl>
    <w:lvl w:ilvl="2" w:tplc="3C866E2C">
      <w:start w:val="1"/>
      <w:numFmt w:val="lowerRoman"/>
      <w:lvlText w:val="%3."/>
      <w:lvlJc w:val="right"/>
      <w:pPr>
        <w:ind w:left="2160" w:hanging="180"/>
      </w:pPr>
    </w:lvl>
    <w:lvl w:ilvl="3" w:tplc="12CC80E6">
      <w:start w:val="1"/>
      <w:numFmt w:val="decimal"/>
      <w:lvlText w:val="%4."/>
      <w:lvlJc w:val="left"/>
      <w:pPr>
        <w:ind w:left="2880" w:hanging="360"/>
      </w:pPr>
    </w:lvl>
    <w:lvl w:ilvl="4" w:tplc="56AEB88E">
      <w:start w:val="1"/>
      <w:numFmt w:val="lowerLetter"/>
      <w:lvlText w:val="%5."/>
      <w:lvlJc w:val="left"/>
      <w:pPr>
        <w:ind w:left="3600" w:hanging="360"/>
      </w:pPr>
    </w:lvl>
    <w:lvl w:ilvl="5" w:tplc="C348466A">
      <w:start w:val="1"/>
      <w:numFmt w:val="lowerRoman"/>
      <w:lvlText w:val="%6."/>
      <w:lvlJc w:val="right"/>
      <w:pPr>
        <w:ind w:left="4320" w:hanging="180"/>
      </w:pPr>
    </w:lvl>
    <w:lvl w:ilvl="6" w:tplc="BE3A323E">
      <w:start w:val="1"/>
      <w:numFmt w:val="decimal"/>
      <w:lvlText w:val="%7."/>
      <w:lvlJc w:val="left"/>
      <w:pPr>
        <w:ind w:left="5040" w:hanging="360"/>
      </w:pPr>
    </w:lvl>
    <w:lvl w:ilvl="7" w:tplc="C36EEB44">
      <w:start w:val="1"/>
      <w:numFmt w:val="lowerLetter"/>
      <w:lvlText w:val="%8."/>
      <w:lvlJc w:val="left"/>
      <w:pPr>
        <w:ind w:left="5760" w:hanging="360"/>
      </w:pPr>
    </w:lvl>
    <w:lvl w:ilvl="8" w:tplc="4B9023B6">
      <w:start w:val="1"/>
      <w:numFmt w:val="lowerRoman"/>
      <w:lvlText w:val="%9."/>
      <w:lvlJc w:val="right"/>
      <w:pPr>
        <w:ind w:left="6480" w:hanging="180"/>
      </w:pPr>
    </w:lvl>
  </w:abstractNum>
  <w:num w:numId="1" w16cid:durableId="729617993">
    <w:abstractNumId w:val="2"/>
  </w:num>
  <w:num w:numId="2" w16cid:durableId="2068726631">
    <w:abstractNumId w:val="7"/>
  </w:num>
  <w:num w:numId="3" w16cid:durableId="1750225072">
    <w:abstractNumId w:val="3"/>
  </w:num>
  <w:num w:numId="4" w16cid:durableId="814302205">
    <w:abstractNumId w:val="0"/>
  </w:num>
  <w:num w:numId="5" w16cid:durableId="997806575">
    <w:abstractNumId w:val="1"/>
  </w:num>
  <w:num w:numId="6" w16cid:durableId="1406294590">
    <w:abstractNumId w:val="8"/>
  </w:num>
  <w:num w:numId="7" w16cid:durableId="637994639">
    <w:abstractNumId w:val="6"/>
  </w:num>
  <w:num w:numId="8" w16cid:durableId="1509639356">
    <w:abstractNumId w:val="5"/>
  </w:num>
  <w:num w:numId="9" w16cid:durableId="128911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8F"/>
    <w:rsid w:val="00057CF4"/>
    <w:rsid w:val="00147E53"/>
    <w:rsid w:val="00455B67"/>
    <w:rsid w:val="00612511"/>
    <w:rsid w:val="00636570"/>
    <w:rsid w:val="008E47CD"/>
    <w:rsid w:val="0099301F"/>
    <w:rsid w:val="00A56F86"/>
    <w:rsid w:val="00AE2C88"/>
    <w:rsid w:val="00AF137D"/>
    <w:rsid w:val="00B6788F"/>
    <w:rsid w:val="00C650B1"/>
    <w:rsid w:val="00CE0AC1"/>
    <w:rsid w:val="00E05751"/>
    <w:rsid w:val="00F2273C"/>
    <w:rsid w:val="00F4066E"/>
    <w:rsid w:val="0A0926E2"/>
    <w:rsid w:val="0BF7D23D"/>
    <w:rsid w:val="10C26FBC"/>
    <w:rsid w:val="1CD34551"/>
    <w:rsid w:val="1F88D3BD"/>
    <w:rsid w:val="2145C9B1"/>
    <w:rsid w:val="2413C3A4"/>
    <w:rsid w:val="27E235F8"/>
    <w:rsid w:val="4CEF5B3A"/>
    <w:rsid w:val="4FD45B4E"/>
    <w:rsid w:val="5869B897"/>
    <w:rsid w:val="5C5E9E5B"/>
    <w:rsid w:val="60C747A4"/>
    <w:rsid w:val="625F798E"/>
    <w:rsid w:val="67F4BE01"/>
    <w:rsid w:val="6F70E244"/>
    <w:rsid w:val="76FEF7AA"/>
    <w:rsid w:val="774EB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1E4D"/>
  <w15:chartTrackingRefBased/>
  <w15:docId w15:val="{C74C22C9-1287-334C-8310-ADB0C81E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7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7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88F"/>
    <w:rPr>
      <w:rFonts w:eastAsiaTheme="majorEastAsia" w:cstheme="majorBidi"/>
      <w:color w:val="272727" w:themeColor="text1" w:themeTint="D8"/>
    </w:rPr>
  </w:style>
  <w:style w:type="paragraph" w:styleId="Title">
    <w:name w:val="Title"/>
    <w:basedOn w:val="Normal"/>
    <w:next w:val="Normal"/>
    <w:link w:val="TitleChar"/>
    <w:uiPriority w:val="10"/>
    <w:qFormat/>
    <w:rsid w:val="00B67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88F"/>
    <w:pPr>
      <w:spacing w:before="160"/>
      <w:jc w:val="center"/>
    </w:pPr>
    <w:rPr>
      <w:i/>
      <w:iCs/>
      <w:color w:val="404040" w:themeColor="text1" w:themeTint="BF"/>
    </w:rPr>
  </w:style>
  <w:style w:type="character" w:customStyle="1" w:styleId="QuoteChar">
    <w:name w:val="Quote Char"/>
    <w:basedOn w:val="DefaultParagraphFont"/>
    <w:link w:val="Quote"/>
    <w:uiPriority w:val="29"/>
    <w:rsid w:val="00B6788F"/>
    <w:rPr>
      <w:i/>
      <w:iCs/>
      <w:color w:val="404040" w:themeColor="text1" w:themeTint="BF"/>
    </w:rPr>
  </w:style>
  <w:style w:type="paragraph" w:styleId="ListParagraph">
    <w:name w:val="List Paragraph"/>
    <w:basedOn w:val="Normal"/>
    <w:uiPriority w:val="34"/>
    <w:qFormat/>
    <w:rsid w:val="00B6788F"/>
    <w:pPr>
      <w:ind w:left="720"/>
      <w:contextualSpacing/>
    </w:pPr>
  </w:style>
  <w:style w:type="character" w:styleId="IntenseEmphasis">
    <w:name w:val="Intense Emphasis"/>
    <w:basedOn w:val="DefaultParagraphFont"/>
    <w:uiPriority w:val="21"/>
    <w:qFormat/>
    <w:rsid w:val="00B6788F"/>
    <w:rPr>
      <w:i/>
      <w:iCs/>
      <w:color w:val="0F4761" w:themeColor="accent1" w:themeShade="BF"/>
    </w:rPr>
  </w:style>
  <w:style w:type="paragraph" w:styleId="IntenseQuote">
    <w:name w:val="Intense Quote"/>
    <w:basedOn w:val="Normal"/>
    <w:next w:val="Normal"/>
    <w:link w:val="IntenseQuoteChar"/>
    <w:uiPriority w:val="30"/>
    <w:qFormat/>
    <w:rsid w:val="00B67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88F"/>
    <w:rPr>
      <w:i/>
      <w:iCs/>
      <w:color w:val="0F4761" w:themeColor="accent1" w:themeShade="BF"/>
    </w:rPr>
  </w:style>
  <w:style w:type="character" w:styleId="IntenseReference">
    <w:name w:val="Intense Reference"/>
    <w:basedOn w:val="DefaultParagraphFont"/>
    <w:uiPriority w:val="32"/>
    <w:qFormat/>
    <w:rsid w:val="00B6788F"/>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4CEF5B3A"/>
    <w:rPr>
      <w:rFonts w:asciiTheme="minorHAnsi" w:eastAsiaTheme="minorEastAsia" w:hAnsiTheme="minorHAnsi" w:cstheme="minorBidi"/>
      <w:sz w:val="24"/>
      <w:szCs w:val="24"/>
    </w:rPr>
  </w:style>
  <w:style w:type="character" w:customStyle="1" w:styleId="normaltextrun">
    <w:name w:val="normaltextrun"/>
    <w:basedOn w:val="DefaultParagraphFont"/>
    <w:uiPriority w:val="1"/>
    <w:rsid w:val="4CEF5B3A"/>
    <w:rPr>
      <w:rFonts w:asciiTheme="minorHAnsi" w:eastAsiaTheme="minorEastAsia" w:hAnsiTheme="minorHAnsi"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E2C88"/>
    <w:pPr>
      <w:spacing w:after="0" w:line="240" w:lineRule="auto"/>
    </w:pPr>
  </w:style>
  <w:style w:type="paragraph" w:styleId="CommentSubject">
    <w:name w:val="annotation subject"/>
    <w:basedOn w:val="CommentText"/>
    <w:next w:val="CommentText"/>
    <w:link w:val="CommentSubjectChar"/>
    <w:uiPriority w:val="99"/>
    <w:semiHidden/>
    <w:unhideWhenUsed/>
    <w:rsid w:val="00612511"/>
    <w:rPr>
      <w:b/>
      <w:bCs/>
    </w:rPr>
  </w:style>
  <w:style w:type="character" w:customStyle="1" w:styleId="CommentSubjectChar">
    <w:name w:val="Comment Subject Char"/>
    <w:basedOn w:val="CommentTextChar"/>
    <w:link w:val="CommentSubject"/>
    <w:uiPriority w:val="99"/>
    <w:semiHidden/>
    <w:rsid w:val="006125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3996">
      <w:bodyDiv w:val="1"/>
      <w:marLeft w:val="0"/>
      <w:marRight w:val="0"/>
      <w:marTop w:val="0"/>
      <w:marBottom w:val="0"/>
      <w:divBdr>
        <w:top w:val="none" w:sz="0" w:space="0" w:color="auto"/>
        <w:left w:val="none" w:sz="0" w:space="0" w:color="auto"/>
        <w:bottom w:val="none" w:sz="0" w:space="0" w:color="auto"/>
        <w:right w:val="none" w:sz="0" w:space="0" w:color="auto"/>
      </w:divBdr>
    </w:div>
    <w:div w:id="10609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Ishminder Kaur</dc:creator>
  <cp:keywords/>
  <dc:description/>
  <cp:lastModifiedBy>Yang, Shangxin</cp:lastModifiedBy>
  <cp:revision>5</cp:revision>
  <dcterms:created xsi:type="dcterms:W3CDTF">2025-05-21T22:41:00Z</dcterms:created>
  <dcterms:modified xsi:type="dcterms:W3CDTF">2025-05-27T17:38:00Z</dcterms:modified>
</cp:coreProperties>
</file>